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5C4BB4" w:rsidRPr="00E0356D" w:rsidP="005C4BB4">
      <w:pPr>
        <w:jc w:val="center"/>
        <w:rPr>
          <w:sz w:val="20"/>
          <w:szCs w:val="20"/>
        </w:rPr>
      </w:pPr>
      <w:r>
        <w:rPr>
          <w:b/>
          <w:bCs/>
          <w:sz w:val="20"/>
          <w:szCs w:val="20"/>
        </w:rPr>
        <w:t>BIT DIGITAL, INC.</w:t>
      </w:r>
    </w:p>
    <w:p w:rsidR="005C4BB4" w:rsidP="005C4BB4">
      <w:pPr>
        <w:jc w:val="center"/>
        <w:rPr>
          <w:b/>
          <w:bCs/>
          <w:color w:val="000000"/>
          <w:sz w:val="20"/>
          <w:szCs w:val="20"/>
        </w:rPr>
      </w:pPr>
      <w:r>
        <w:rPr>
          <w:b/>
          <w:bCs/>
          <w:color w:val="000000"/>
          <w:sz w:val="20"/>
          <w:szCs w:val="20"/>
        </w:rPr>
        <w:t>33 Irving Place,</w:t>
      </w:r>
    </w:p>
    <w:p w:rsidR="005C4BB4" w:rsidP="005C4BB4">
      <w:pPr>
        <w:jc w:val="center"/>
        <w:rPr>
          <w:b/>
          <w:bCs/>
          <w:color w:val="000000"/>
          <w:sz w:val="20"/>
          <w:szCs w:val="20"/>
        </w:rPr>
      </w:pPr>
      <w:r>
        <w:rPr>
          <w:b/>
          <w:bCs/>
          <w:color w:val="000000"/>
          <w:sz w:val="20"/>
          <w:szCs w:val="20"/>
        </w:rPr>
        <w:t>New York, N.Y. 10003</w:t>
      </w:r>
    </w:p>
    <w:p w:rsidR="005C4BB4" w:rsidP="005C4BB4">
      <w:pPr>
        <w:jc w:val="center"/>
        <w:rPr>
          <w:b/>
          <w:bCs/>
          <w:color w:val="000000"/>
          <w:sz w:val="20"/>
          <w:szCs w:val="20"/>
        </w:rPr>
      </w:pPr>
      <w:r>
        <w:rPr>
          <w:b/>
          <w:bCs/>
          <w:color w:val="000000"/>
          <w:sz w:val="20"/>
          <w:szCs w:val="20"/>
        </w:rPr>
        <w:t>(347) 328-3680</w:t>
      </w:r>
    </w:p>
    <w:p w:rsidR="00A060BC" w:rsidRPr="00E0356D" w:rsidP="005C4BB4">
      <w:pPr>
        <w:jc w:val="center"/>
        <w:rPr>
          <w:sz w:val="20"/>
          <w:szCs w:val="20"/>
        </w:rPr>
      </w:pPr>
    </w:p>
    <w:p w:rsidR="005C4BB4" w:rsidRPr="00E0356D" w:rsidP="005C4BB4">
      <w:pPr>
        <w:jc w:val="center"/>
        <w:rPr>
          <w:sz w:val="20"/>
          <w:szCs w:val="20"/>
        </w:rPr>
      </w:pPr>
      <w:r w:rsidRPr="00E0356D">
        <w:rPr>
          <w:sz w:val="20"/>
          <w:szCs w:val="20"/>
        </w:rPr>
        <w:t> </w:t>
      </w:r>
    </w:p>
    <w:p w:rsidR="005C4BB4" w:rsidRPr="00E0356D" w:rsidP="005C4BB4">
      <w:pPr>
        <w:jc w:val="center"/>
        <w:rPr>
          <w:sz w:val="20"/>
          <w:szCs w:val="20"/>
        </w:rPr>
      </w:pPr>
      <w:bookmarkStart w:id="0" w:name="a_001"/>
      <w:bookmarkEnd w:id="0"/>
      <w:r w:rsidRPr="00E0356D">
        <w:rPr>
          <w:b/>
          <w:bCs/>
          <w:sz w:val="20"/>
          <w:szCs w:val="20"/>
        </w:rPr>
        <w:t>PROXY STATEMENT</w:t>
      </w:r>
    </w:p>
    <w:p w:rsidR="005C4BB4" w:rsidRPr="00E0356D" w:rsidP="005C4BB4">
      <w:pPr>
        <w:jc w:val="center"/>
        <w:rPr>
          <w:sz w:val="20"/>
          <w:szCs w:val="20"/>
        </w:rPr>
      </w:pPr>
      <w:r w:rsidRPr="00E0356D">
        <w:rPr>
          <w:sz w:val="20"/>
          <w:szCs w:val="20"/>
        </w:rPr>
        <w:t> </w:t>
      </w:r>
    </w:p>
    <w:p w:rsidR="00A060BC" w:rsidRPr="00E0356D" w:rsidP="00A060BC">
      <w:pPr>
        <w:ind w:firstLine="360"/>
        <w:jc w:val="both"/>
        <w:rPr>
          <w:sz w:val="20"/>
          <w:szCs w:val="20"/>
        </w:rPr>
      </w:pPr>
      <w:bookmarkStart w:id="1" w:name="a_002"/>
      <w:bookmarkEnd w:id="1"/>
      <w:r w:rsidRPr="00E0356D">
        <w:rPr>
          <w:sz w:val="20"/>
          <w:szCs w:val="20"/>
        </w:rPr>
        <w:t xml:space="preserve">This Proxy Statement is furnished in connection with the solicitation of proxies by the Board of Directors (the “Board”) of </w:t>
      </w:r>
      <w:r>
        <w:rPr>
          <w:sz w:val="20"/>
          <w:szCs w:val="20"/>
        </w:rPr>
        <w:t>Bit Digital, Inc.</w:t>
      </w:r>
      <w:r w:rsidRPr="00E0356D">
        <w:rPr>
          <w:sz w:val="20"/>
          <w:szCs w:val="20"/>
        </w:rPr>
        <w:t xml:space="preserve"> (the “Company,” “</w:t>
      </w:r>
      <w:r>
        <w:rPr>
          <w:sz w:val="20"/>
          <w:szCs w:val="20"/>
        </w:rPr>
        <w:t>BTBT</w:t>
      </w:r>
      <w:r w:rsidRPr="00E0356D">
        <w:rPr>
          <w:sz w:val="20"/>
          <w:szCs w:val="20"/>
        </w:rPr>
        <w:t xml:space="preserve">” “we,” “us,” or “our”) for </w:t>
      </w:r>
      <w:r>
        <w:rPr>
          <w:sz w:val="20"/>
          <w:szCs w:val="20"/>
        </w:rPr>
        <w:t>an Extraordinary</w:t>
      </w:r>
      <w:r w:rsidRPr="00E0356D">
        <w:rPr>
          <w:sz w:val="20"/>
          <w:szCs w:val="20"/>
        </w:rPr>
        <w:t xml:space="preserve"> </w:t>
      </w:r>
      <w:r>
        <w:rPr>
          <w:sz w:val="20"/>
          <w:szCs w:val="20"/>
        </w:rPr>
        <w:t xml:space="preserve">General </w:t>
      </w:r>
      <w:r w:rsidRPr="00E0356D">
        <w:rPr>
          <w:sz w:val="20"/>
          <w:szCs w:val="20"/>
        </w:rPr>
        <w:t xml:space="preserve">Meeting of Shareholders </w:t>
      </w:r>
      <w:r>
        <w:rPr>
          <w:sz w:val="20"/>
          <w:szCs w:val="20"/>
        </w:rPr>
        <w:t xml:space="preserve">(the “General Meeting”) </w:t>
      </w:r>
      <w:r w:rsidRPr="00E0356D">
        <w:rPr>
          <w:sz w:val="20"/>
          <w:szCs w:val="20"/>
        </w:rPr>
        <w:t>to be held at the Company’s principal executive office</w:t>
      </w:r>
      <w:r>
        <w:rPr>
          <w:sz w:val="20"/>
          <w:szCs w:val="20"/>
        </w:rPr>
        <w:t>s</w:t>
      </w:r>
      <w:r w:rsidRPr="00E0356D">
        <w:rPr>
          <w:sz w:val="20"/>
          <w:szCs w:val="20"/>
        </w:rPr>
        <w:t xml:space="preserve">, at </w:t>
      </w:r>
      <w:r w:rsidRPr="00390A44">
        <w:rPr>
          <w:sz w:val="20"/>
          <w:szCs w:val="20"/>
        </w:rPr>
        <w:t>33 Irving Place,</w:t>
      </w:r>
      <w:r>
        <w:rPr>
          <w:sz w:val="20"/>
          <w:szCs w:val="20"/>
        </w:rPr>
        <w:t xml:space="preserve"> </w:t>
      </w:r>
      <w:r w:rsidRPr="00390A44">
        <w:rPr>
          <w:sz w:val="20"/>
          <w:szCs w:val="20"/>
        </w:rPr>
        <w:t>New York, N</w:t>
      </w:r>
      <w:r>
        <w:rPr>
          <w:sz w:val="20"/>
          <w:szCs w:val="20"/>
        </w:rPr>
        <w:t xml:space="preserve">ew </w:t>
      </w:r>
      <w:r w:rsidRPr="00390A44">
        <w:rPr>
          <w:sz w:val="20"/>
          <w:szCs w:val="20"/>
        </w:rPr>
        <w:t>Y</w:t>
      </w:r>
      <w:r>
        <w:rPr>
          <w:sz w:val="20"/>
          <w:szCs w:val="20"/>
        </w:rPr>
        <w:t>ork</w:t>
      </w:r>
      <w:r w:rsidRPr="00390A44">
        <w:rPr>
          <w:sz w:val="20"/>
          <w:szCs w:val="20"/>
        </w:rPr>
        <w:t xml:space="preserve"> 10003</w:t>
      </w:r>
      <w:r w:rsidRPr="00E0356D">
        <w:rPr>
          <w:sz w:val="20"/>
          <w:szCs w:val="20"/>
        </w:rPr>
        <w:t xml:space="preserve"> on </w:t>
      </w:r>
      <w:r>
        <w:rPr>
          <w:sz w:val="20"/>
          <w:szCs w:val="20"/>
        </w:rPr>
        <w:t>September 8, 2021</w:t>
      </w:r>
      <w:r w:rsidRPr="00E0356D">
        <w:rPr>
          <w:sz w:val="20"/>
          <w:szCs w:val="20"/>
        </w:rPr>
        <w:t xml:space="preserve"> at </w:t>
      </w:r>
      <w:r>
        <w:rPr>
          <w:sz w:val="20"/>
          <w:szCs w:val="20"/>
        </w:rPr>
        <w:t xml:space="preserve">9:00 a.m. (local time) </w:t>
      </w:r>
      <w:r w:rsidRPr="00E0356D">
        <w:rPr>
          <w:sz w:val="20"/>
          <w:szCs w:val="20"/>
        </w:rPr>
        <w:t xml:space="preserve">and for any adjournment or adjournments thereof, for the purposes set forth in the accompanying Notice of </w:t>
      </w:r>
      <w:r>
        <w:rPr>
          <w:sz w:val="20"/>
          <w:szCs w:val="20"/>
        </w:rPr>
        <w:t>Gener</w:t>
      </w:r>
      <w:r w:rsidRPr="00E0356D">
        <w:rPr>
          <w:sz w:val="20"/>
          <w:szCs w:val="20"/>
        </w:rPr>
        <w:t>al Meeting of Shareholders. The Company will bear the costs of this solicitation.</w:t>
      </w:r>
    </w:p>
    <w:p w:rsidR="00A060BC" w:rsidRPr="00E0356D" w:rsidP="00A060BC">
      <w:pPr>
        <w:ind w:firstLine="360"/>
        <w:rPr>
          <w:sz w:val="20"/>
          <w:szCs w:val="20"/>
        </w:rPr>
      </w:pPr>
      <w:r w:rsidRPr="00E0356D">
        <w:rPr>
          <w:sz w:val="20"/>
          <w:szCs w:val="20"/>
        </w:rPr>
        <w:t> </w:t>
      </w:r>
    </w:p>
    <w:p w:rsidR="00A060BC" w:rsidRPr="00E0356D" w:rsidP="00A060BC">
      <w:pPr>
        <w:ind w:firstLine="360"/>
        <w:jc w:val="both"/>
        <w:rPr>
          <w:sz w:val="20"/>
          <w:szCs w:val="20"/>
        </w:rPr>
      </w:pPr>
      <w:r w:rsidRPr="00E0356D">
        <w:rPr>
          <w:sz w:val="20"/>
          <w:szCs w:val="20"/>
        </w:rPr>
        <w:t xml:space="preserve">If the enclosed proxy is properly executed and returned, the </w:t>
      </w:r>
      <w:r>
        <w:rPr>
          <w:sz w:val="20"/>
          <w:szCs w:val="20"/>
        </w:rPr>
        <w:t>Ordinary Shares</w:t>
      </w:r>
      <w:r w:rsidRPr="00E0356D">
        <w:rPr>
          <w:sz w:val="20"/>
          <w:szCs w:val="20"/>
        </w:rPr>
        <w:t xml:space="preserve"> </w:t>
      </w:r>
      <w:r>
        <w:rPr>
          <w:sz w:val="20"/>
          <w:szCs w:val="20"/>
        </w:rPr>
        <w:t xml:space="preserve">of our Company (the “Ordinary Shares”) </w:t>
      </w:r>
      <w:r w:rsidRPr="00E0356D">
        <w:rPr>
          <w:sz w:val="20"/>
          <w:szCs w:val="20"/>
        </w:rPr>
        <w:t>represented thereby will be voted in accordance with the directions thereon and otherwise in accordance with the judgment of the persons designated as proxies. Any proxy card on which no instruction is specified will be voted in favor of the actions described in this Proxy Statement</w:t>
      </w:r>
      <w:r>
        <w:rPr>
          <w:sz w:val="20"/>
          <w:szCs w:val="20"/>
        </w:rPr>
        <w:t>.</w:t>
      </w:r>
      <w:r w:rsidRPr="00E0356D">
        <w:rPr>
          <w:sz w:val="20"/>
          <w:szCs w:val="20"/>
        </w:rPr>
        <w:t xml:space="preserve"> Any shareholder appointing such a proxy has the power to revoke it at any time before it is voted. If you are a holder of record, written notice of such revocation should be forwarded to </w:t>
      </w:r>
      <w:r>
        <w:rPr>
          <w:sz w:val="20"/>
          <w:szCs w:val="20"/>
        </w:rPr>
        <w:t>TranShare Securities Transfer with Registrar,</w:t>
      </w:r>
      <w:r w:rsidRPr="00E0356D">
        <w:rPr>
          <w:sz w:val="20"/>
          <w:szCs w:val="20"/>
        </w:rPr>
        <w:t xml:space="preserve"> Attn: Proxy Services. If you hold your </w:t>
      </w:r>
      <w:r>
        <w:rPr>
          <w:sz w:val="20"/>
          <w:szCs w:val="20"/>
        </w:rPr>
        <w:t>Ordinary Shares</w:t>
      </w:r>
      <w:r w:rsidRPr="00E0356D">
        <w:rPr>
          <w:sz w:val="20"/>
          <w:szCs w:val="20"/>
        </w:rPr>
        <w:t xml:space="preserve"> in street name, you should contact your broker about revoking your proxy.</w:t>
      </w:r>
    </w:p>
    <w:p w:rsidR="00A060BC" w:rsidRPr="00E0356D" w:rsidP="00A060BC">
      <w:pPr>
        <w:ind w:firstLine="360"/>
        <w:rPr>
          <w:sz w:val="20"/>
          <w:szCs w:val="20"/>
        </w:rPr>
      </w:pPr>
      <w:r w:rsidRPr="00E0356D">
        <w:rPr>
          <w:sz w:val="20"/>
          <w:szCs w:val="20"/>
        </w:rPr>
        <w:t> </w:t>
      </w:r>
    </w:p>
    <w:p w:rsidR="00A060BC" w:rsidRPr="00E0356D" w:rsidP="00A060BC">
      <w:pPr>
        <w:ind w:firstLine="360"/>
        <w:jc w:val="both"/>
        <w:rPr>
          <w:sz w:val="20"/>
          <w:szCs w:val="20"/>
        </w:rPr>
      </w:pPr>
      <w:r w:rsidRPr="00E0356D">
        <w:rPr>
          <w:sz w:val="20"/>
          <w:szCs w:val="20"/>
        </w:rPr>
        <w:t>The Company will bear the cost of preparing, printing, assembling and mailing the proxy card, Proxy Statement and other material which may be sent to shareholders in connection with this solicitation. It is contemplated that brokerage houses will forward the proxy materials to beneficial owners at our request. In addition to the solicitation of proxies by use of the mails, officers and regular employees of the Company may solicit proxies without additional compensation, by telephone or telegraph. We may reimburse brokers or other persons holding Shares in their names or the names of their nominees for the expenses of forwarding soliciting material to their principals and obtaining their proxies.</w:t>
      </w:r>
    </w:p>
    <w:p w:rsidR="00A060BC" w:rsidRPr="00E0356D" w:rsidP="00A060BC">
      <w:pPr>
        <w:ind w:firstLine="360"/>
        <w:rPr>
          <w:sz w:val="20"/>
          <w:szCs w:val="20"/>
        </w:rPr>
      </w:pPr>
      <w:r w:rsidRPr="00E0356D">
        <w:rPr>
          <w:b/>
          <w:bCs/>
          <w:sz w:val="20"/>
          <w:szCs w:val="20"/>
        </w:rPr>
        <w:t> </w:t>
      </w:r>
    </w:p>
    <w:p w:rsidR="00A060BC" w:rsidRPr="00483481" w:rsidP="00A060BC">
      <w:pPr>
        <w:jc w:val="center"/>
        <w:rPr>
          <w:sz w:val="20"/>
          <w:szCs w:val="20"/>
          <w:vertAlign w:val="superscript"/>
        </w:rPr>
      </w:pPr>
      <w:r w:rsidRPr="00E0356D">
        <w:rPr>
          <w:b/>
          <w:bCs/>
          <w:sz w:val="20"/>
          <w:szCs w:val="20"/>
        </w:rPr>
        <w:t>VOTING SECURITIES</w:t>
      </w:r>
    </w:p>
    <w:p w:rsidR="00A060BC" w:rsidRPr="00E0356D" w:rsidP="00A060BC">
      <w:pPr>
        <w:ind w:firstLine="360"/>
        <w:jc w:val="both"/>
        <w:rPr>
          <w:sz w:val="20"/>
          <w:szCs w:val="20"/>
        </w:rPr>
      </w:pPr>
      <w:r w:rsidRPr="00E0356D">
        <w:rPr>
          <w:sz w:val="20"/>
          <w:szCs w:val="20"/>
        </w:rPr>
        <w:t> </w:t>
      </w:r>
    </w:p>
    <w:p w:rsidR="00A060BC" w:rsidRPr="00E0356D" w:rsidP="00A060BC">
      <w:pPr>
        <w:ind w:firstLine="360"/>
        <w:jc w:val="both"/>
        <w:rPr>
          <w:sz w:val="20"/>
          <w:szCs w:val="20"/>
        </w:rPr>
      </w:pPr>
      <w:r w:rsidRPr="00E0356D">
        <w:rPr>
          <w:sz w:val="20"/>
          <w:szCs w:val="20"/>
        </w:rPr>
        <w:t xml:space="preserve">Only holders of our </w:t>
      </w:r>
      <w:r>
        <w:rPr>
          <w:sz w:val="20"/>
          <w:szCs w:val="20"/>
        </w:rPr>
        <w:t xml:space="preserve">Ordinary Shares and Preferred Shares </w:t>
      </w:r>
      <w:r w:rsidRPr="00E0356D">
        <w:rPr>
          <w:sz w:val="20"/>
          <w:szCs w:val="20"/>
        </w:rPr>
        <w:t xml:space="preserve">of record at the close of business on </w:t>
      </w:r>
      <w:r>
        <w:rPr>
          <w:sz w:val="20"/>
          <w:szCs w:val="20"/>
        </w:rPr>
        <w:t>August 9</w:t>
      </w:r>
      <w:r w:rsidRPr="00E0356D">
        <w:rPr>
          <w:sz w:val="20"/>
          <w:szCs w:val="20"/>
        </w:rPr>
        <w:t>, 202</w:t>
      </w:r>
      <w:r>
        <w:rPr>
          <w:sz w:val="20"/>
          <w:szCs w:val="20"/>
        </w:rPr>
        <w:t>1</w:t>
      </w:r>
      <w:r w:rsidRPr="00E0356D">
        <w:rPr>
          <w:sz w:val="20"/>
          <w:szCs w:val="20"/>
        </w:rPr>
        <w:t xml:space="preserve"> (the “Record Date”) are entitled to vote at the </w:t>
      </w:r>
      <w:r>
        <w:rPr>
          <w:sz w:val="20"/>
          <w:szCs w:val="20"/>
        </w:rPr>
        <w:t>General Meeting</w:t>
      </w:r>
      <w:r w:rsidRPr="00E0356D">
        <w:rPr>
          <w:sz w:val="20"/>
          <w:szCs w:val="20"/>
        </w:rPr>
        <w:t xml:space="preserve">. On the Record Date, the Company had </w:t>
      </w:r>
      <w:r>
        <w:rPr>
          <w:sz w:val="20"/>
          <w:szCs w:val="20"/>
        </w:rPr>
        <w:t xml:space="preserve">54,990,764 Ordinary Shares and 1,000,000 Preferred Shares </w:t>
      </w:r>
      <w:r w:rsidRPr="00E0356D">
        <w:rPr>
          <w:sz w:val="20"/>
          <w:szCs w:val="20"/>
        </w:rPr>
        <w:t xml:space="preserve">outstanding and entitled to vote at the </w:t>
      </w:r>
      <w:r>
        <w:rPr>
          <w:sz w:val="20"/>
          <w:szCs w:val="20"/>
        </w:rPr>
        <w:t>Gener</w:t>
      </w:r>
      <w:r w:rsidRPr="00E0356D">
        <w:rPr>
          <w:sz w:val="20"/>
          <w:szCs w:val="20"/>
        </w:rPr>
        <w:t xml:space="preserve">al Meeting. For purposes of voting at the </w:t>
      </w:r>
      <w:r>
        <w:rPr>
          <w:sz w:val="20"/>
          <w:szCs w:val="20"/>
        </w:rPr>
        <w:t>Gener</w:t>
      </w:r>
      <w:r w:rsidRPr="00E0356D">
        <w:rPr>
          <w:sz w:val="20"/>
          <w:szCs w:val="20"/>
        </w:rPr>
        <w:t xml:space="preserve">al Meeting, each </w:t>
      </w:r>
      <w:r>
        <w:rPr>
          <w:sz w:val="20"/>
          <w:szCs w:val="20"/>
        </w:rPr>
        <w:t>Ordinary</w:t>
      </w:r>
      <w:r w:rsidRPr="00E0356D">
        <w:rPr>
          <w:sz w:val="20"/>
          <w:szCs w:val="20"/>
        </w:rPr>
        <w:t xml:space="preserve"> </w:t>
      </w:r>
      <w:r>
        <w:rPr>
          <w:sz w:val="20"/>
          <w:szCs w:val="20"/>
        </w:rPr>
        <w:t>S</w:t>
      </w:r>
      <w:r w:rsidRPr="00E0356D">
        <w:rPr>
          <w:sz w:val="20"/>
          <w:szCs w:val="20"/>
        </w:rPr>
        <w:t xml:space="preserve">hare is entitled to one vote upon all matters to be acted upon at the </w:t>
      </w:r>
      <w:r>
        <w:rPr>
          <w:sz w:val="20"/>
          <w:szCs w:val="20"/>
        </w:rPr>
        <w:t>General Meeting</w:t>
      </w:r>
      <w:r w:rsidRPr="00E0356D">
        <w:rPr>
          <w:sz w:val="20"/>
          <w:szCs w:val="20"/>
        </w:rPr>
        <w:t>.</w:t>
      </w:r>
      <w:r>
        <w:rPr>
          <w:sz w:val="20"/>
          <w:szCs w:val="20"/>
        </w:rPr>
        <w:t xml:space="preserve">  Each of the 1,000,000 Preferred Shares held by Management is entitled to fifty (50) votes on all matters to be decided upon at the General Meeting.  </w:t>
      </w:r>
      <w:r w:rsidRPr="00E0356D">
        <w:rPr>
          <w:sz w:val="20"/>
          <w:szCs w:val="20"/>
        </w:rPr>
        <w:t xml:space="preserve">No business may be transacted at any meeting of shareholders unless a quorum is present at the commencement of business. The presence of one or more shareholders entitled to vote and present in person or by proxy representing not less than one third of the total issued voting </w:t>
      </w:r>
      <w:r>
        <w:rPr>
          <w:sz w:val="20"/>
          <w:szCs w:val="20"/>
        </w:rPr>
        <w:t>Ordinary Shares</w:t>
      </w:r>
      <w:r w:rsidRPr="00E0356D">
        <w:rPr>
          <w:sz w:val="20"/>
          <w:szCs w:val="20"/>
        </w:rPr>
        <w:t xml:space="preserve"> of the Company throughout the </w:t>
      </w:r>
      <w:r>
        <w:rPr>
          <w:sz w:val="20"/>
          <w:szCs w:val="20"/>
        </w:rPr>
        <w:t>General Meeting</w:t>
      </w:r>
      <w:r w:rsidRPr="00E0356D">
        <w:rPr>
          <w:sz w:val="20"/>
          <w:szCs w:val="20"/>
        </w:rPr>
        <w:t xml:space="preserve"> shall constitute a quorum.</w:t>
      </w:r>
    </w:p>
    <w:p w:rsidR="00A060BC" w:rsidRPr="00E0356D" w:rsidP="00A060BC">
      <w:pPr>
        <w:ind w:firstLine="360"/>
        <w:rPr>
          <w:sz w:val="20"/>
          <w:szCs w:val="20"/>
        </w:rPr>
      </w:pPr>
      <w:r w:rsidRPr="00E0356D">
        <w:rPr>
          <w:sz w:val="20"/>
          <w:szCs w:val="20"/>
        </w:rPr>
        <w:t> </w:t>
      </w:r>
    </w:p>
    <w:p w:rsidR="00A060BC" w:rsidRPr="00E0356D" w:rsidP="00A060BC">
      <w:pPr>
        <w:ind w:firstLine="360"/>
        <w:jc w:val="both"/>
        <w:rPr>
          <w:sz w:val="20"/>
          <w:szCs w:val="20"/>
        </w:rPr>
      </w:pPr>
      <w:r w:rsidRPr="006C7EDA">
        <w:rPr>
          <w:sz w:val="20"/>
          <w:szCs w:val="20"/>
        </w:rPr>
        <w:t xml:space="preserve">The affirmative vote of a simple majority of the votes cast in person or by proxy at the </w:t>
      </w:r>
      <w:r>
        <w:rPr>
          <w:sz w:val="20"/>
          <w:szCs w:val="20"/>
        </w:rPr>
        <w:t>Gener</w:t>
      </w:r>
      <w:r w:rsidRPr="006C7EDA">
        <w:rPr>
          <w:sz w:val="20"/>
          <w:szCs w:val="20"/>
        </w:rPr>
        <w:t xml:space="preserve">al Meeting and entitled to vote is required to approve </w:t>
      </w:r>
      <w:r>
        <w:rPr>
          <w:sz w:val="20"/>
          <w:szCs w:val="20"/>
        </w:rPr>
        <w:t xml:space="preserve">an Amendment to the Company’s authorized share capital; and for authorization of the Company’s Second </w:t>
      </w:r>
      <w:r w:rsidRPr="00F71DAB">
        <w:rPr>
          <w:sz w:val="20"/>
          <w:szCs w:val="20"/>
        </w:rPr>
        <w:t>Incentive Plan</w:t>
      </w:r>
      <w:r w:rsidRPr="006C7EDA">
        <w:rPr>
          <w:sz w:val="20"/>
          <w:szCs w:val="20"/>
        </w:rPr>
        <w:t>.</w:t>
      </w:r>
      <w:r w:rsidRPr="00E0356D">
        <w:rPr>
          <w:sz w:val="20"/>
          <w:szCs w:val="20"/>
        </w:rPr>
        <w:t xml:space="preserve"> </w:t>
      </w:r>
    </w:p>
    <w:p w:rsidR="00A060BC" w:rsidRPr="00E0356D" w:rsidP="00A060BC">
      <w:pPr>
        <w:ind w:firstLine="360"/>
        <w:rPr>
          <w:sz w:val="20"/>
          <w:szCs w:val="20"/>
        </w:rPr>
      </w:pPr>
      <w:r w:rsidRPr="00E0356D">
        <w:rPr>
          <w:sz w:val="20"/>
          <w:szCs w:val="20"/>
        </w:rPr>
        <w:t> </w:t>
      </w:r>
    </w:p>
    <w:p w:rsidR="00A060BC" w:rsidP="00A060BC">
      <w:pPr>
        <w:ind w:firstLine="360"/>
        <w:jc w:val="both"/>
        <w:rPr>
          <w:sz w:val="20"/>
          <w:szCs w:val="20"/>
        </w:rPr>
      </w:pPr>
      <w:r w:rsidRPr="00E0356D">
        <w:rPr>
          <w:sz w:val="20"/>
          <w:szCs w:val="20"/>
        </w:rPr>
        <w:t xml:space="preserve">An ordinary resolution to be passed at </w:t>
      </w:r>
      <w:r>
        <w:rPr>
          <w:sz w:val="20"/>
          <w:szCs w:val="20"/>
        </w:rPr>
        <w:t>a</w:t>
      </w:r>
      <w:r w:rsidRPr="00E0356D">
        <w:rPr>
          <w:sz w:val="20"/>
          <w:szCs w:val="20"/>
        </w:rPr>
        <w:t xml:space="preserve"> </w:t>
      </w:r>
      <w:r>
        <w:rPr>
          <w:sz w:val="20"/>
          <w:szCs w:val="20"/>
        </w:rPr>
        <w:t>General Meeting</w:t>
      </w:r>
      <w:r w:rsidRPr="00E0356D">
        <w:rPr>
          <w:sz w:val="20"/>
          <w:szCs w:val="20"/>
        </w:rPr>
        <w:t xml:space="preserve"> by the shareholders requires the affirmative vote of a simple majority of the </w:t>
      </w:r>
      <w:r>
        <w:rPr>
          <w:sz w:val="20"/>
          <w:szCs w:val="20"/>
        </w:rPr>
        <w:t xml:space="preserve">combined </w:t>
      </w:r>
      <w:r w:rsidRPr="00E0356D">
        <w:rPr>
          <w:sz w:val="20"/>
          <w:szCs w:val="20"/>
        </w:rPr>
        <w:t xml:space="preserve">votes attaching to the </w:t>
      </w:r>
      <w:r>
        <w:rPr>
          <w:sz w:val="20"/>
          <w:szCs w:val="20"/>
        </w:rPr>
        <w:t>Ordinary Shares and Preferred Shares (on a 50 to 1 basis)</w:t>
      </w:r>
      <w:r w:rsidRPr="00E0356D">
        <w:rPr>
          <w:sz w:val="20"/>
          <w:szCs w:val="20"/>
        </w:rPr>
        <w:t xml:space="preserve"> cast by, or on behalf of, the shareholders entitled to vote at a </w:t>
      </w:r>
      <w:r>
        <w:rPr>
          <w:sz w:val="20"/>
          <w:szCs w:val="20"/>
        </w:rPr>
        <w:t xml:space="preserve">General Meeting (the "Ordinary Resolution").  </w:t>
      </w:r>
    </w:p>
    <w:p w:rsidR="00A060BC" w:rsidRPr="00E0356D" w:rsidP="00A060BC">
      <w:pPr>
        <w:ind w:firstLine="360"/>
        <w:jc w:val="both"/>
        <w:rPr>
          <w:sz w:val="20"/>
          <w:szCs w:val="20"/>
        </w:rPr>
      </w:pPr>
    </w:p>
    <w:p w:rsidR="00A060BC" w:rsidRPr="00E0356D" w:rsidP="00A060BC">
      <w:pPr>
        <w:ind w:firstLine="360"/>
        <w:jc w:val="both"/>
        <w:rPr>
          <w:sz w:val="20"/>
          <w:szCs w:val="20"/>
        </w:rPr>
      </w:pPr>
      <w:r w:rsidRPr="00E0356D">
        <w:rPr>
          <w:sz w:val="20"/>
          <w:szCs w:val="20"/>
        </w:rPr>
        <w:t xml:space="preserve">The </w:t>
      </w:r>
      <w:r>
        <w:rPr>
          <w:sz w:val="20"/>
          <w:szCs w:val="20"/>
        </w:rPr>
        <w:t>Gener</w:t>
      </w:r>
      <w:r w:rsidRPr="00E0356D">
        <w:rPr>
          <w:sz w:val="20"/>
          <w:szCs w:val="20"/>
        </w:rPr>
        <w:t xml:space="preserve">al Meeting will be postponed if a quorum is not present at the </w:t>
      </w:r>
      <w:r>
        <w:rPr>
          <w:sz w:val="20"/>
          <w:szCs w:val="20"/>
        </w:rPr>
        <w:t>Gener</w:t>
      </w:r>
      <w:r w:rsidRPr="00E0356D">
        <w:rPr>
          <w:sz w:val="20"/>
          <w:szCs w:val="20"/>
        </w:rPr>
        <w:t xml:space="preserve">al Meeting. For purposes of determining the presence of a quorum, abstentions and broker non-votes will be counted as present. </w:t>
      </w:r>
      <w:r>
        <w:rPr>
          <w:sz w:val="20"/>
          <w:szCs w:val="20"/>
        </w:rPr>
        <w:t xml:space="preserve"> </w:t>
      </w:r>
      <w:r w:rsidRPr="00E0356D">
        <w:rPr>
          <w:sz w:val="20"/>
          <w:szCs w:val="20"/>
        </w:rPr>
        <w:t xml:space="preserve">If a quorum is not present, the </w:t>
      </w:r>
      <w:r>
        <w:rPr>
          <w:sz w:val="20"/>
          <w:szCs w:val="20"/>
        </w:rPr>
        <w:t>General Meeting</w:t>
      </w:r>
      <w:r w:rsidRPr="00E0356D">
        <w:rPr>
          <w:sz w:val="20"/>
          <w:szCs w:val="20"/>
        </w:rPr>
        <w:t xml:space="preserve"> shall stand adjourned to the same time and place seven days hence, or to such other time or place as is determined by the directors (unless the </w:t>
      </w:r>
      <w:r>
        <w:rPr>
          <w:sz w:val="20"/>
          <w:szCs w:val="20"/>
        </w:rPr>
        <w:t>General Meeting</w:t>
      </w:r>
      <w:r w:rsidRPr="00E0356D">
        <w:rPr>
          <w:sz w:val="20"/>
          <w:szCs w:val="20"/>
        </w:rPr>
        <w:t xml:space="preserve"> was requisitioned by the shareholders, in which case such meeting shall be cancelled if a quorum is not present). If a quorum is present, the meeting may be </w:t>
      </w:r>
      <w:r w:rsidRPr="00E0356D">
        <w:rPr>
          <w:sz w:val="20"/>
          <w:szCs w:val="20"/>
        </w:rPr>
        <w:t>adjourned by the chairman of the meeting by the consent of shareholders who are represented constituting a quorum. The meeting may be rescheduled at the time of the adjournment with no further notice of the rescheduled time (except such notice provided at the meeting at which the adjournment decision was made) if the meeting is adjourned for seven clear days or less. Should a meeting be adjourned for more than seven days, whether because of a lack of quorum or otherwise, shareholders shall be given at least seven days’ notice of the date, time and place of the adjourned meeting and the general nature of the business to be transacted. An adjournment will have no effect on the business to be conducted.</w:t>
      </w:r>
    </w:p>
    <w:p w:rsidR="00A060BC" w:rsidRPr="00E0356D" w:rsidP="00A060BC">
      <w:pPr>
        <w:ind w:firstLine="360"/>
        <w:rPr>
          <w:sz w:val="20"/>
          <w:szCs w:val="20"/>
        </w:rPr>
      </w:pPr>
      <w:r w:rsidRPr="00E0356D">
        <w:rPr>
          <w:sz w:val="20"/>
          <w:szCs w:val="20"/>
        </w:rPr>
        <w:t> </w:t>
      </w:r>
    </w:p>
    <w:p w:rsidR="00A060BC" w:rsidRPr="00E0356D" w:rsidP="00A060BC">
      <w:pPr>
        <w:ind w:firstLine="360"/>
        <w:jc w:val="both"/>
        <w:rPr>
          <w:sz w:val="20"/>
          <w:szCs w:val="20"/>
        </w:rPr>
      </w:pPr>
      <w:r w:rsidRPr="00E0356D">
        <w:rPr>
          <w:sz w:val="20"/>
          <w:szCs w:val="20"/>
        </w:rPr>
        <w:t>The Company is soliciting your vote through the use of the mail and will bear the cost of this solicitation. The Company does not intend to employ third party solicitors, but our directors, officers, employees, and consultants may solicit proxies by mail, telephone, personal contact, or through online methods; to the extent they do so, the Company will reimburse their expenses for doing this. The Company will also reimburse brokers, fiduciaries, and custodians for their costs in forwarding proxy materials to beneficial owners of the Company’s stock. Other proxy solicitation expenses include those for preparation, mailing, returning, and tabulating the proxies.</w:t>
      </w:r>
    </w:p>
    <w:p w:rsidR="00A060BC" w:rsidRPr="00E0356D" w:rsidP="00A060BC">
      <w:pPr>
        <w:ind w:firstLine="360"/>
        <w:rPr>
          <w:sz w:val="20"/>
          <w:szCs w:val="20"/>
        </w:rPr>
      </w:pPr>
      <w:r w:rsidRPr="00E0356D">
        <w:rPr>
          <w:sz w:val="20"/>
          <w:szCs w:val="20"/>
        </w:rPr>
        <w:t> </w:t>
      </w:r>
    </w:p>
    <w:p w:rsidR="00A060BC" w:rsidRPr="00E0356D" w:rsidP="00A060BC">
      <w:pPr>
        <w:ind w:firstLine="360"/>
        <w:jc w:val="both"/>
        <w:rPr>
          <w:sz w:val="20"/>
          <w:szCs w:val="20"/>
        </w:rPr>
      </w:pPr>
      <w:r w:rsidRPr="00E0356D">
        <w:rPr>
          <w:sz w:val="20"/>
          <w:szCs w:val="20"/>
        </w:rPr>
        <w:t xml:space="preserve">The Board is not proposing any action for which the applicable rules and laws provide a right of a shareholder to obtain appraisal of or payment for such shareholder’s </w:t>
      </w:r>
      <w:r>
        <w:rPr>
          <w:sz w:val="20"/>
          <w:szCs w:val="20"/>
        </w:rPr>
        <w:t>Ordinary Shares</w:t>
      </w:r>
      <w:r w:rsidRPr="00E0356D">
        <w:rPr>
          <w:sz w:val="20"/>
          <w:szCs w:val="20"/>
        </w:rPr>
        <w:t>.</w:t>
      </w:r>
    </w:p>
    <w:p w:rsidR="00A060BC" w:rsidRPr="00E0356D" w:rsidP="00A060BC">
      <w:pPr>
        <w:rPr>
          <w:sz w:val="20"/>
          <w:szCs w:val="20"/>
        </w:rPr>
      </w:pPr>
      <w:r w:rsidRPr="00E0356D">
        <w:rPr>
          <w:sz w:val="20"/>
          <w:szCs w:val="20"/>
        </w:rPr>
        <w:t> </w:t>
      </w:r>
    </w:p>
    <w:p w:rsidR="00A060BC" w:rsidRPr="00E0356D" w:rsidP="00A060BC">
      <w:pPr>
        <w:ind w:firstLine="360"/>
        <w:jc w:val="both"/>
        <w:rPr>
          <w:sz w:val="20"/>
          <w:szCs w:val="20"/>
        </w:rPr>
      </w:pPr>
      <w:r w:rsidRPr="00E0356D">
        <w:rPr>
          <w:sz w:val="20"/>
          <w:szCs w:val="20"/>
        </w:rPr>
        <w:t xml:space="preserve">Copies of the Company’s Annual Report on Form 20-F for the fiscal year ended </w:t>
      </w:r>
      <w:r>
        <w:rPr>
          <w:sz w:val="20"/>
          <w:szCs w:val="20"/>
        </w:rPr>
        <w:t>December 31</w:t>
      </w:r>
      <w:r w:rsidRPr="00E0356D">
        <w:rPr>
          <w:sz w:val="20"/>
          <w:szCs w:val="20"/>
        </w:rPr>
        <w:t>, 20</w:t>
      </w:r>
      <w:r>
        <w:rPr>
          <w:sz w:val="20"/>
          <w:szCs w:val="20"/>
        </w:rPr>
        <w:t>20,</w:t>
      </w:r>
      <w:r w:rsidRPr="00E0356D">
        <w:rPr>
          <w:sz w:val="20"/>
          <w:szCs w:val="20"/>
        </w:rPr>
        <w:t xml:space="preserve"> as filed with the Securities and Exchange Commission will be furnished without charge to shareholders upon written request. Exhibits to the Annual Report will</w:t>
      </w:r>
      <w:r>
        <w:rPr>
          <w:sz w:val="20"/>
          <w:szCs w:val="20"/>
        </w:rPr>
        <w:t xml:space="preserve"> also</w:t>
      </w:r>
      <w:r w:rsidRPr="00E0356D">
        <w:rPr>
          <w:sz w:val="20"/>
          <w:szCs w:val="20"/>
        </w:rPr>
        <w:t xml:space="preserve"> be provided upon written request. All written requests should be directed to the Company at its main office </w:t>
      </w:r>
      <w:r>
        <w:rPr>
          <w:sz w:val="20"/>
          <w:szCs w:val="20"/>
        </w:rPr>
        <w:t>at 33 Irving Place, New York, N.Y. 10003</w:t>
      </w:r>
      <w:r w:rsidRPr="00E0356D">
        <w:rPr>
          <w:sz w:val="20"/>
          <w:szCs w:val="20"/>
        </w:rPr>
        <w:t>. The Company is subject to certain disclosure requirements of the Securities Exchange Act of 1934, as amended</w:t>
      </w:r>
      <w:r>
        <w:rPr>
          <w:sz w:val="20"/>
          <w:szCs w:val="20"/>
        </w:rPr>
        <w:t xml:space="preserve"> (the “Exchange Act”)</w:t>
      </w:r>
      <w:r w:rsidRPr="00E0356D">
        <w:rPr>
          <w:sz w:val="20"/>
          <w:szCs w:val="20"/>
        </w:rPr>
        <w:t xml:space="preserve">. The SEC maintains a website that contains various filings and reports regarding companies that file electronically with the SEC. The SEC’s website address is www.sec.gov. </w:t>
      </w:r>
    </w:p>
    <w:p w:rsidR="00A060BC" w:rsidP="00A060BC">
      <w:pPr>
        <w:jc w:val="center"/>
        <w:rPr>
          <w:sz w:val="20"/>
          <w:szCs w:val="20"/>
        </w:rPr>
      </w:pPr>
    </w:p>
    <w:p w:rsidR="00A060BC" w:rsidP="00A060BC">
      <w:pPr>
        <w:jc w:val="center"/>
        <w:rPr>
          <w:sz w:val="20"/>
          <w:szCs w:val="20"/>
        </w:rPr>
      </w:pPr>
    </w:p>
    <w:p w:rsidR="00A060BC" w:rsidRPr="00E0356D" w:rsidP="00A060BC">
      <w:pPr>
        <w:jc w:val="center"/>
        <w:rPr>
          <w:sz w:val="20"/>
          <w:szCs w:val="20"/>
        </w:rPr>
      </w:pPr>
      <w:r w:rsidRPr="00E0356D">
        <w:rPr>
          <w:b/>
          <w:bCs/>
          <w:sz w:val="20"/>
          <w:szCs w:val="20"/>
        </w:rPr>
        <w:t>VOTING PROCEDURES</w:t>
      </w:r>
    </w:p>
    <w:p w:rsidR="00A060BC" w:rsidRPr="00E0356D" w:rsidP="00A060BC">
      <w:pPr>
        <w:rPr>
          <w:sz w:val="20"/>
          <w:szCs w:val="20"/>
        </w:rPr>
      </w:pPr>
      <w:r w:rsidRPr="00E0356D">
        <w:rPr>
          <w:sz w:val="20"/>
          <w:szCs w:val="20"/>
        </w:rPr>
        <w:t> </w:t>
      </w:r>
    </w:p>
    <w:p w:rsidR="00A060BC" w:rsidRPr="00E0356D" w:rsidP="00A060BC">
      <w:pPr>
        <w:ind w:firstLine="360"/>
        <w:rPr>
          <w:sz w:val="20"/>
          <w:szCs w:val="20"/>
        </w:rPr>
      </w:pPr>
      <w:r w:rsidRPr="00E0356D">
        <w:rPr>
          <w:sz w:val="20"/>
          <w:szCs w:val="20"/>
        </w:rPr>
        <w:t xml:space="preserve">If you are a shareholder of record, you may vote in person at the </w:t>
      </w:r>
      <w:r>
        <w:rPr>
          <w:sz w:val="20"/>
          <w:szCs w:val="20"/>
        </w:rPr>
        <w:t>General Meeting</w:t>
      </w:r>
      <w:r w:rsidRPr="00E0356D">
        <w:rPr>
          <w:sz w:val="20"/>
          <w:szCs w:val="20"/>
        </w:rPr>
        <w:t>.</w:t>
      </w:r>
    </w:p>
    <w:p w:rsidR="00A060BC" w:rsidRPr="00E0356D" w:rsidP="00A060BC">
      <w:pPr>
        <w:ind w:firstLine="360"/>
        <w:rPr>
          <w:sz w:val="20"/>
          <w:szCs w:val="20"/>
        </w:rPr>
      </w:pPr>
      <w:r w:rsidRPr="00E0356D">
        <w:rPr>
          <w:sz w:val="20"/>
          <w:szCs w:val="20"/>
        </w:rPr>
        <w:t> </w:t>
      </w:r>
    </w:p>
    <w:p w:rsidR="00A060BC" w:rsidRPr="00E0356D" w:rsidP="00A060BC">
      <w:pPr>
        <w:ind w:firstLine="360"/>
        <w:jc w:val="both"/>
        <w:rPr>
          <w:sz w:val="20"/>
          <w:szCs w:val="20"/>
        </w:rPr>
      </w:pPr>
      <w:r w:rsidRPr="00E0356D">
        <w:rPr>
          <w:sz w:val="20"/>
          <w:szCs w:val="20"/>
        </w:rPr>
        <w:t xml:space="preserve">We will give you a ballot sheet when you arrive. If you do not wish to vote in person or you will not be attending the </w:t>
      </w:r>
      <w:r>
        <w:rPr>
          <w:sz w:val="20"/>
          <w:szCs w:val="20"/>
        </w:rPr>
        <w:t>Gener</w:t>
      </w:r>
      <w:r w:rsidRPr="00E0356D">
        <w:rPr>
          <w:sz w:val="20"/>
          <w:szCs w:val="20"/>
        </w:rPr>
        <w:t xml:space="preserve">al </w:t>
      </w:r>
      <w:r>
        <w:rPr>
          <w:sz w:val="20"/>
          <w:szCs w:val="20"/>
        </w:rPr>
        <w:t>M</w:t>
      </w:r>
      <w:r w:rsidRPr="00E0356D">
        <w:rPr>
          <w:sz w:val="20"/>
          <w:szCs w:val="20"/>
        </w:rPr>
        <w:t>eeting, you may vote by proxy. If you have received a printed copy of these proxy materials by mail, you may vote by proxy using the enclosed proxy card. To vote by proxy using the enclosed proxy card (only if you have received a printed copy of these proxy materials by mail), complete, sign and date your proxy card and return it promptly in the envelope provided</w:t>
      </w:r>
      <w:r w:rsidR="001C749F">
        <w:rPr>
          <w:sz w:val="20"/>
          <w:szCs w:val="20"/>
        </w:rPr>
        <w:t xml:space="preserve"> or you may vote by Internet, Email or fax, as set forth in the accompanying Notice of Meeting</w:t>
      </w:r>
      <w:r w:rsidRPr="00E0356D">
        <w:rPr>
          <w:sz w:val="20"/>
          <w:szCs w:val="20"/>
        </w:rPr>
        <w:t xml:space="preserve">. If you intend to vote by proxy, your vote must be received </w:t>
      </w:r>
      <w:r w:rsidR="001C749F">
        <w:rPr>
          <w:sz w:val="20"/>
          <w:szCs w:val="20"/>
        </w:rPr>
        <w:t>at any time before the time for the holding of the meeting or adjourned meeting at which the proxy intends to vote</w:t>
      </w:r>
      <w:r w:rsidRPr="00E0356D">
        <w:rPr>
          <w:sz w:val="20"/>
          <w:szCs w:val="20"/>
        </w:rPr>
        <w:t>.</w:t>
      </w:r>
    </w:p>
    <w:p w:rsidR="00A060BC" w:rsidRPr="00E0356D" w:rsidP="00A060BC">
      <w:pPr>
        <w:ind w:firstLine="360"/>
        <w:rPr>
          <w:sz w:val="20"/>
          <w:szCs w:val="20"/>
        </w:rPr>
      </w:pPr>
      <w:r w:rsidRPr="00E0356D">
        <w:rPr>
          <w:sz w:val="20"/>
          <w:szCs w:val="20"/>
        </w:rPr>
        <w:t> </w:t>
      </w:r>
    </w:p>
    <w:p w:rsidR="00A060BC" w:rsidRPr="00E0356D" w:rsidP="00A060BC">
      <w:pPr>
        <w:ind w:firstLine="360"/>
        <w:jc w:val="both"/>
        <w:rPr>
          <w:sz w:val="20"/>
          <w:szCs w:val="20"/>
        </w:rPr>
      </w:pPr>
      <w:r w:rsidRPr="00E0356D">
        <w:rPr>
          <w:sz w:val="20"/>
          <w:szCs w:val="20"/>
        </w:rPr>
        <w:t xml:space="preserve">If your </w:t>
      </w:r>
      <w:r>
        <w:rPr>
          <w:sz w:val="20"/>
          <w:szCs w:val="20"/>
        </w:rPr>
        <w:t>Ordinary Shares</w:t>
      </w:r>
      <w:r w:rsidRPr="00E0356D">
        <w:rPr>
          <w:sz w:val="20"/>
          <w:szCs w:val="20"/>
        </w:rPr>
        <w:t xml:space="preserve"> are registered in your name, you are a shareholder of record with respect to those </w:t>
      </w:r>
      <w:r>
        <w:rPr>
          <w:sz w:val="20"/>
          <w:szCs w:val="20"/>
        </w:rPr>
        <w:t>Ordinary Shares</w:t>
      </w:r>
      <w:r w:rsidRPr="00E0356D">
        <w:rPr>
          <w:sz w:val="20"/>
          <w:szCs w:val="20"/>
        </w:rPr>
        <w:t xml:space="preserve">. On the other hand, if your </w:t>
      </w:r>
      <w:r>
        <w:rPr>
          <w:sz w:val="20"/>
          <w:szCs w:val="20"/>
        </w:rPr>
        <w:t>Ordinary Shares</w:t>
      </w:r>
      <w:r w:rsidRPr="00E0356D">
        <w:rPr>
          <w:sz w:val="20"/>
          <w:szCs w:val="20"/>
        </w:rPr>
        <w:t xml:space="preserve"> are registered in the name of your broker or bank, your </w:t>
      </w:r>
      <w:r>
        <w:rPr>
          <w:sz w:val="20"/>
          <w:szCs w:val="20"/>
        </w:rPr>
        <w:t>Ordinary Shares</w:t>
      </w:r>
      <w:r w:rsidRPr="00E0356D">
        <w:rPr>
          <w:sz w:val="20"/>
          <w:szCs w:val="20"/>
        </w:rPr>
        <w:t xml:space="preserve"> are held in street name and you are considered the “beneficial owner” of the </w:t>
      </w:r>
      <w:r>
        <w:rPr>
          <w:sz w:val="20"/>
          <w:szCs w:val="20"/>
        </w:rPr>
        <w:t>Ordinary Shares</w:t>
      </w:r>
      <w:r w:rsidRPr="00E0356D">
        <w:rPr>
          <w:sz w:val="20"/>
          <w:szCs w:val="20"/>
        </w:rPr>
        <w:t xml:space="preserve">. As the beneficial owner of those </w:t>
      </w:r>
      <w:r>
        <w:rPr>
          <w:sz w:val="20"/>
          <w:szCs w:val="20"/>
        </w:rPr>
        <w:t>Ordinary Shares</w:t>
      </w:r>
      <w:r w:rsidRPr="00E0356D">
        <w:rPr>
          <w:sz w:val="20"/>
          <w:szCs w:val="20"/>
        </w:rPr>
        <w:t xml:space="preserve">, you have the right to direct your broker or bank how to vote your </w:t>
      </w:r>
      <w:r>
        <w:rPr>
          <w:sz w:val="20"/>
          <w:szCs w:val="20"/>
        </w:rPr>
        <w:t>Ordinary Shares</w:t>
      </w:r>
      <w:r w:rsidRPr="00E0356D">
        <w:rPr>
          <w:sz w:val="20"/>
          <w:szCs w:val="20"/>
        </w:rPr>
        <w:t xml:space="preserve">, and you will receive separate instructions from your broker or bank describing how to vote your </w:t>
      </w:r>
      <w:r>
        <w:rPr>
          <w:sz w:val="20"/>
          <w:szCs w:val="20"/>
        </w:rPr>
        <w:t>Ordinary Shares</w:t>
      </w:r>
      <w:r w:rsidRPr="00E0356D">
        <w:rPr>
          <w:sz w:val="20"/>
          <w:szCs w:val="20"/>
        </w:rPr>
        <w:t>.</w:t>
      </w:r>
    </w:p>
    <w:p w:rsidR="00A060BC" w:rsidRPr="00E0356D" w:rsidP="00A060BC">
      <w:pPr>
        <w:ind w:firstLine="360"/>
        <w:rPr>
          <w:sz w:val="20"/>
          <w:szCs w:val="20"/>
        </w:rPr>
      </w:pPr>
      <w:r w:rsidRPr="00E0356D">
        <w:rPr>
          <w:sz w:val="20"/>
          <w:szCs w:val="20"/>
        </w:rPr>
        <w:t> </w:t>
      </w:r>
    </w:p>
    <w:p w:rsidR="00A060BC" w:rsidRPr="00E0356D" w:rsidP="00A060BC">
      <w:pPr>
        <w:ind w:firstLine="360"/>
        <w:rPr>
          <w:sz w:val="20"/>
          <w:szCs w:val="20"/>
        </w:rPr>
      </w:pPr>
      <w:r w:rsidRPr="00E0356D">
        <w:rPr>
          <w:sz w:val="20"/>
          <w:szCs w:val="20"/>
        </w:rPr>
        <w:t>If you give a proxy, you may revoke it at any time before it is exercised. You may revoke your proxy in three ways:</w:t>
      </w:r>
    </w:p>
    <w:p w:rsidR="00A060BC" w:rsidRPr="00E0356D" w:rsidP="00A060BC">
      <w:pPr>
        <w:ind w:firstLine="360"/>
        <w:rPr>
          <w:sz w:val="20"/>
          <w:szCs w:val="20"/>
        </w:rPr>
      </w:pPr>
      <w:r w:rsidRPr="00E0356D">
        <w:rPr>
          <w:sz w:val="20"/>
          <w:szCs w:val="20"/>
        </w:rPr>
        <w:t> </w:t>
      </w:r>
    </w:p>
    <w:tbl>
      <w:tblPr>
        <w:tblW w:w="8967" w:type="dxa"/>
        <w:tblCellSpacing w:w="0" w:type="dxa"/>
        <w:tblInd w:w="450" w:type="dxa"/>
        <w:tblCellMar>
          <w:left w:w="0" w:type="dxa"/>
          <w:right w:w="0" w:type="dxa"/>
        </w:tblCellMar>
        <w:tblLook w:val="04A0"/>
      </w:tblPr>
      <w:tblGrid>
        <w:gridCol w:w="450"/>
        <w:gridCol w:w="8517"/>
      </w:tblGrid>
      <w:tr w:rsidTr="00BF76C4">
        <w:tblPrEx>
          <w:tblW w:w="8967" w:type="dxa"/>
          <w:tblCellSpacing w:w="0" w:type="dxa"/>
          <w:tblInd w:w="450" w:type="dxa"/>
          <w:tblCellMar>
            <w:left w:w="0" w:type="dxa"/>
            <w:right w:w="0" w:type="dxa"/>
          </w:tblCellMar>
          <w:tblLook w:val="04A0"/>
        </w:tblPrEx>
        <w:trPr>
          <w:tblCellSpacing w:w="0" w:type="dxa"/>
        </w:trPr>
        <w:tc>
          <w:tcPr>
            <w:tcW w:w="450" w:type="dxa"/>
            <w:hideMark/>
          </w:tcPr>
          <w:p w:rsidR="00A060BC" w:rsidRPr="00E0356D" w:rsidP="00BF76C4">
            <w:pPr>
              <w:rPr>
                <w:sz w:val="20"/>
                <w:szCs w:val="20"/>
              </w:rPr>
            </w:pPr>
            <w:r w:rsidRPr="00E0356D">
              <w:rPr>
                <w:sz w:val="20"/>
                <w:szCs w:val="20"/>
              </w:rPr>
              <w:t>1.</w:t>
            </w:r>
          </w:p>
        </w:tc>
        <w:tc>
          <w:tcPr>
            <w:tcW w:w="8517" w:type="dxa"/>
            <w:hideMark/>
          </w:tcPr>
          <w:p w:rsidR="00A060BC" w:rsidRPr="00E0356D" w:rsidP="00BF76C4">
            <w:pPr>
              <w:rPr>
                <w:sz w:val="20"/>
                <w:szCs w:val="20"/>
              </w:rPr>
            </w:pPr>
            <w:r w:rsidRPr="00E0356D">
              <w:rPr>
                <w:sz w:val="20"/>
                <w:szCs w:val="20"/>
              </w:rPr>
              <w:t>You may send in another proxy with a later date.</w:t>
            </w:r>
          </w:p>
        </w:tc>
      </w:tr>
    </w:tbl>
    <w:p w:rsidR="00A060BC" w:rsidRPr="00E0356D" w:rsidP="00A060BC">
      <w:pPr>
        <w:rPr>
          <w:sz w:val="20"/>
          <w:szCs w:val="20"/>
        </w:rPr>
      </w:pPr>
      <w:r w:rsidRPr="00E0356D">
        <w:rPr>
          <w:sz w:val="20"/>
          <w:szCs w:val="20"/>
        </w:rPr>
        <w:t> </w:t>
      </w:r>
    </w:p>
    <w:tbl>
      <w:tblPr>
        <w:tblW w:w="8967" w:type="dxa"/>
        <w:tblCellSpacing w:w="0" w:type="dxa"/>
        <w:tblInd w:w="450" w:type="dxa"/>
        <w:tblCellMar>
          <w:left w:w="0" w:type="dxa"/>
          <w:right w:w="0" w:type="dxa"/>
        </w:tblCellMar>
        <w:tblLook w:val="04A0"/>
      </w:tblPr>
      <w:tblGrid>
        <w:gridCol w:w="450"/>
        <w:gridCol w:w="8517"/>
      </w:tblGrid>
      <w:tr w:rsidTr="00BF76C4">
        <w:tblPrEx>
          <w:tblW w:w="8967" w:type="dxa"/>
          <w:tblCellSpacing w:w="0" w:type="dxa"/>
          <w:tblInd w:w="450" w:type="dxa"/>
          <w:tblCellMar>
            <w:left w:w="0" w:type="dxa"/>
            <w:right w:w="0" w:type="dxa"/>
          </w:tblCellMar>
          <w:tblLook w:val="04A0"/>
        </w:tblPrEx>
        <w:trPr>
          <w:tblCellSpacing w:w="0" w:type="dxa"/>
        </w:trPr>
        <w:tc>
          <w:tcPr>
            <w:tcW w:w="450" w:type="dxa"/>
            <w:hideMark/>
          </w:tcPr>
          <w:p w:rsidR="00A060BC" w:rsidRPr="00E0356D" w:rsidP="00BF76C4">
            <w:pPr>
              <w:rPr>
                <w:sz w:val="20"/>
                <w:szCs w:val="20"/>
              </w:rPr>
            </w:pPr>
            <w:r w:rsidRPr="00E0356D">
              <w:rPr>
                <w:sz w:val="20"/>
                <w:szCs w:val="20"/>
              </w:rPr>
              <w:t>2.</w:t>
            </w:r>
          </w:p>
        </w:tc>
        <w:tc>
          <w:tcPr>
            <w:tcW w:w="8517" w:type="dxa"/>
            <w:hideMark/>
          </w:tcPr>
          <w:p w:rsidR="00A060BC" w:rsidRPr="00E0356D" w:rsidP="00BF76C4">
            <w:pPr>
              <w:rPr>
                <w:sz w:val="20"/>
                <w:szCs w:val="20"/>
              </w:rPr>
            </w:pPr>
            <w:r w:rsidRPr="00E0356D">
              <w:rPr>
                <w:sz w:val="20"/>
                <w:szCs w:val="20"/>
              </w:rPr>
              <w:t xml:space="preserve">You may notify us in writing (or if the stockholder is a corporation, under its corporate seal, by an officer or attorney of the corporation) at our principal executive offices before the </w:t>
            </w:r>
            <w:r>
              <w:rPr>
                <w:sz w:val="20"/>
                <w:szCs w:val="20"/>
              </w:rPr>
              <w:t>General Meeting</w:t>
            </w:r>
            <w:r w:rsidRPr="00E0356D">
              <w:rPr>
                <w:sz w:val="20"/>
                <w:szCs w:val="20"/>
              </w:rPr>
              <w:t xml:space="preserve"> that you are revoking your proxy.</w:t>
            </w:r>
          </w:p>
        </w:tc>
      </w:tr>
    </w:tbl>
    <w:p w:rsidR="00A060BC" w:rsidRPr="00E0356D" w:rsidP="00A060BC">
      <w:pPr>
        <w:rPr>
          <w:sz w:val="20"/>
          <w:szCs w:val="20"/>
        </w:rPr>
      </w:pPr>
      <w:r w:rsidRPr="00E0356D">
        <w:rPr>
          <w:sz w:val="20"/>
          <w:szCs w:val="20"/>
        </w:rPr>
        <w:t> </w:t>
      </w:r>
    </w:p>
    <w:tbl>
      <w:tblPr>
        <w:tblW w:w="8967" w:type="dxa"/>
        <w:tblCellSpacing w:w="0" w:type="dxa"/>
        <w:tblInd w:w="450" w:type="dxa"/>
        <w:tblCellMar>
          <w:left w:w="0" w:type="dxa"/>
          <w:right w:w="0" w:type="dxa"/>
        </w:tblCellMar>
        <w:tblLook w:val="04A0"/>
      </w:tblPr>
      <w:tblGrid>
        <w:gridCol w:w="450"/>
        <w:gridCol w:w="8517"/>
      </w:tblGrid>
      <w:tr w:rsidTr="00BF76C4">
        <w:tblPrEx>
          <w:tblW w:w="8967" w:type="dxa"/>
          <w:tblCellSpacing w:w="0" w:type="dxa"/>
          <w:tblInd w:w="450" w:type="dxa"/>
          <w:tblCellMar>
            <w:left w:w="0" w:type="dxa"/>
            <w:right w:w="0" w:type="dxa"/>
          </w:tblCellMar>
          <w:tblLook w:val="04A0"/>
        </w:tblPrEx>
        <w:trPr>
          <w:tblCellSpacing w:w="0" w:type="dxa"/>
        </w:trPr>
        <w:tc>
          <w:tcPr>
            <w:tcW w:w="450" w:type="dxa"/>
            <w:hideMark/>
          </w:tcPr>
          <w:p w:rsidR="00A060BC" w:rsidRPr="00E0356D" w:rsidP="00BF76C4">
            <w:pPr>
              <w:rPr>
                <w:sz w:val="20"/>
                <w:szCs w:val="20"/>
              </w:rPr>
            </w:pPr>
            <w:r w:rsidRPr="00E0356D">
              <w:rPr>
                <w:sz w:val="20"/>
                <w:szCs w:val="20"/>
              </w:rPr>
              <w:t>3.</w:t>
            </w:r>
          </w:p>
        </w:tc>
        <w:tc>
          <w:tcPr>
            <w:tcW w:w="8517" w:type="dxa"/>
            <w:hideMark/>
          </w:tcPr>
          <w:p w:rsidR="00A060BC" w:rsidRPr="00E0356D" w:rsidP="00BF76C4">
            <w:pPr>
              <w:rPr>
                <w:sz w:val="20"/>
                <w:szCs w:val="20"/>
              </w:rPr>
            </w:pPr>
            <w:r w:rsidRPr="00E0356D">
              <w:rPr>
                <w:sz w:val="20"/>
                <w:szCs w:val="20"/>
              </w:rPr>
              <w:t xml:space="preserve">You may vote in person at the </w:t>
            </w:r>
            <w:r>
              <w:rPr>
                <w:sz w:val="20"/>
                <w:szCs w:val="20"/>
              </w:rPr>
              <w:t>General Meeting</w:t>
            </w:r>
            <w:r w:rsidRPr="00E0356D">
              <w:rPr>
                <w:sz w:val="20"/>
                <w:szCs w:val="20"/>
              </w:rPr>
              <w:t>.</w:t>
            </w:r>
          </w:p>
        </w:tc>
      </w:tr>
    </w:tbl>
    <w:p w:rsidR="00A060BC" w:rsidP="00A060BC">
      <w:pPr>
        <w:jc w:val="center"/>
        <w:rPr>
          <w:sz w:val="20"/>
          <w:szCs w:val="20"/>
        </w:rPr>
      </w:pPr>
    </w:p>
    <w:p w:rsidR="005C4BB4" w:rsidP="005C4BB4">
      <w:pPr>
        <w:rPr>
          <w:sz w:val="20"/>
          <w:szCs w:val="20"/>
        </w:rPr>
      </w:pPr>
    </w:p>
    <w:p w:rsidR="002F4286" w:rsidRPr="00E0356D" w:rsidP="005C4BB4">
      <w:pPr>
        <w:rPr>
          <w:sz w:val="20"/>
          <w:szCs w:val="20"/>
        </w:rPr>
      </w:pPr>
    </w:p>
    <w:p w:rsidR="005C4BB4" w:rsidRPr="00E0356D" w:rsidP="005C4BB4">
      <w:pPr>
        <w:jc w:val="center"/>
        <w:rPr>
          <w:sz w:val="20"/>
          <w:szCs w:val="20"/>
        </w:rPr>
      </w:pPr>
      <w:r w:rsidRPr="00E0356D">
        <w:rPr>
          <w:b/>
          <w:bCs/>
          <w:sz w:val="20"/>
          <w:szCs w:val="20"/>
        </w:rPr>
        <w:t>MAJOR SHAREHOLDERS</w:t>
      </w:r>
    </w:p>
    <w:p w:rsidR="005C4BB4" w:rsidRPr="00E0356D" w:rsidP="005C4BB4">
      <w:pPr>
        <w:jc w:val="center"/>
        <w:rPr>
          <w:sz w:val="20"/>
          <w:szCs w:val="20"/>
        </w:rPr>
      </w:pPr>
      <w:r w:rsidRPr="00E0356D">
        <w:rPr>
          <w:sz w:val="20"/>
          <w:szCs w:val="20"/>
        </w:rPr>
        <w:t> </w:t>
      </w:r>
    </w:p>
    <w:p w:rsidR="005C4BB4" w:rsidRPr="00E0356D" w:rsidP="005C4BB4">
      <w:pPr>
        <w:ind w:firstLine="360"/>
        <w:jc w:val="both"/>
        <w:rPr>
          <w:sz w:val="20"/>
          <w:szCs w:val="20"/>
        </w:rPr>
      </w:pPr>
      <w:r w:rsidRPr="00E0356D">
        <w:rPr>
          <w:sz w:val="20"/>
          <w:szCs w:val="20"/>
        </w:rPr>
        <w:t xml:space="preserve">The following table sets forth certain information regarding beneficial ownership of our </w:t>
      </w:r>
      <w:r>
        <w:rPr>
          <w:sz w:val="20"/>
          <w:szCs w:val="20"/>
        </w:rPr>
        <w:t>Ordinary Shares</w:t>
      </w:r>
      <w:r w:rsidR="00361A43">
        <w:rPr>
          <w:sz w:val="20"/>
          <w:szCs w:val="20"/>
        </w:rPr>
        <w:t xml:space="preserve"> and Preferred Shares</w:t>
      </w:r>
      <w:r w:rsidRPr="00E0356D">
        <w:rPr>
          <w:sz w:val="20"/>
          <w:szCs w:val="20"/>
        </w:rPr>
        <w:t xml:space="preserve"> by each person who is known by us to beneficially own more than 5% of our </w:t>
      </w:r>
      <w:r>
        <w:rPr>
          <w:sz w:val="20"/>
          <w:szCs w:val="20"/>
        </w:rPr>
        <w:t>Ordinary Shares</w:t>
      </w:r>
      <w:r w:rsidRPr="00E0356D">
        <w:rPr>
          <w:sz w:val="20"/>
          <w:szCs w:val="20"/>
        </w:rPr>
        <w:t xml:space="preserve">. The table also identifies the share ownership of each of our directors, each of our named executive officers, and all directors and officers as a group. Except as otherwise indicated, the shareholders listed in the table have sole voting and investment powers with respect to the </w:t>
      </w:r>
      <w:r>
        <w:rPr>
          <w:sz w:val="20"/>
          <w:szCs w:val="20"/>
        </w:rPr>
        <w:t>Ordinary Shares</w:t>
      </w:r>
      <w:r w:rsidRPr="00E0356D">
        <w:rPr>
          <w:sz w:val="20"/>
          <w:szCs w:val="20"/>
        </w:rPr>
        <w:t xml:space="preserve"> indicated. </w:t>
      </w:r>
    </w:p>
    <w:p w:rsidR="005C4BB4" w:rsidRPr="00E0356D" w:rsidP="005C4BB4">
      <w:pPr>
        <w:rPr>
          <w:sz w:val="20"/>
          <w:szCs w:val="20"/>
        </w:rPr>
      </w:pPr>
      <w:r w:rsidRPr="00E0356D">
        <w:rPr>
          <w:sz w:val="20"/>
          <w:szCs w:val="20"/>
        </w:rPr>
        <w:t> </w:t>
      </w:r>
    </w:p>
    <w:p w:rsidR="005C4BB4" w:rsidP="005C4BB4">
      <w:pPr>
        <w:ind w:firstLine="360"/>
        <w:jc w:val="both"/>
        <w:rPr>
          <w:sz w:val="20"/>
          <w:szCs w:val="20"/>
        </w:rPr>
      </w:pPr>
      <w:r w:rsidRPr="00E0356D">
        <w:rPr>
          <w:sz w:val="20"/>
          <w:szCs w:val="20"/>
        </w:rPr>
        <w:t xml:space="preserve">We have determined beneficial ownership in accordance with the rules of the SEC. Under such rules, beneficial ownership includes any </w:t>
      </w:r>
      <w:r>
        <w:rPr>
          <w:sz w:val="20"/>
          <w:szCs w:val="20"/>
        </w:rPr>
        <w:t>Ordinary Shares</w:t>
      </w:r>
      <w:r w:rsidRPr="00E0356D">
        <w:rPr>
          <w:sz w:val="20"/>
          <w:szCs w:val="20"/>
        </w:rPr>
        <w:t xml:space="preserve"> over which the individual has sole or shared voting power or investment power as well as any </w:t>
      </w:r>
      <w:r>
        <w:rPr>
          <w:sz w:val="20"/>
          <w:szCs w:val="20"/>
        </w:rPr>
        <w:t>Ordinary Shares</w:t>
      </w:r>
      <w:r w:rsidRPr="00E0356D">
        <w:rPr>
          <w:sz w:val="20"/>
          <w:szCs w:val="20"/>
        </w:rPr>
        <w:t xml:space="preserve"> that the individual has the right to subscribe for within </w:t>
      </w:r>
      <w:r w:rsidR="00A252DA">
        <w:rPr>
          <w:sz w:val="20"/>
          <w:szCs w:val="20"/>
        </w:rPr>
        <w:t>sixty (</w:t>
      </w:r>
      <w:r w:rsidRPr="00E0356D">
        <w:rPr>
          <w:sz w:val="20"/>
          <w:szCs w:val="20"/>
        </w:rPr>
        <w:t>60</w:t>
      </w:r>
      <w:r w:rsidR="00A252DA">
        <w:rPr>
          <w:sz w:val="20"/>
          <w:szCs w:val="20"/>
        </w:rPr>
        <w:t>)</w:t>
      </w:r>
      <w:r w:rsidRPr="00E0356D">
        <w:rPr>
          <w:sz w:val="20"/>
          <w:szCs w:val="20"/>
        </w:rPr>
        <w:t xml:space="preserve"> days of </w:t>
      </w:r>
      <w:r w:rsidR="00361A43">
        <w:rPr>
          <w:sz w:val="20"/>
          <w:szCs w:val="20"/>
        </w:rPr>
        <w:t xml:space="preserve">August </w:t>
      </w:r>
      <w:r w:rsidR="00411EBE">
        <w:rPr>
          <w:sz w:val="20"/>
          <w:szCs w:val="20"/>
        </w:rPr>
        <w:t>9</w:t>
      </w:r>
      <w:r w:rsidRPr="00E0356D">
        <w:rPr>
          <w:sz w:val="20"/>
          <w:szCs w:val="20"/>
        </w:rPr>
        <w:t>, 202</w:t>
      </w:r>
      <w:r>
        <w:rPr>
          <w:sz w:val="20"/>
          <w:szCs w:val="20"/>
        </w:rPr>
        <w:t>1</w:t>
      </w:r>
      <w:r w:rsidRPr="00E0356D">
        <w:rPr>
          <w:sz w:val="20"/>
          <w:szCs w:val="20"/>
        </w:rPr>
        <w:t xml:space="preserve"> through the exercise of any warrants or other rights. Except as indicated by the footnotes below, we believe, based on the information furnished to us, that the persons and entities named in the table below have sole voting and investment power or the power to receive the economic benefit with respect to all </w:t>
      </w:r>
      <w:r>
        <w:rPr>
          <w:sz w:val="20"/>
          <w:szCs w:val="20"/>
        </w:rPr>
        <w:t xml:space="preserve">Ordinary Shares </w:t>
      </w:r>
      <w:r w:rsidRPr="00E0356D">
        <w:rPr>
          <w:sz w:val="20"/>
          <w:szCs w:val="20"/>
        </w:rPr>
        <w:t xml:space="preserve">that they beneficially own, subject to applicable community property laws. None of the stockholders listed in the table are a broker-dealer or an affiliate of a broker-dealer. </w:t>
      </w:r>
      <w:r w:rsidRPr="00BC046D">
        <w:rPr>
          <w:sz w:val="20"/>
          <w:szCs w:val="20"/>
        </w:rPr>
        <w:t xml:space="preserve">Percentage ownership of our </w:t>
      </w:r>
      <w:r>
        <w:rPr>
          <w:sz w:val="20"/>
          <w:szCs w:val="20"/>
        </w:rPr>
        <w:t>Ordinary Shares</w:t>
      </w:r>
      <w:r w:rsidRPr="00BC046D">
        <w:rPr>
          <w:sz w:val="20"/>
          <w:szCs w:val="20"/>
        </w:rPr>
        <w:t xml:space="preserve"> in the following table is based on </w:t>
      </w:r>
      <w:r w:rsidR="00F71DAB">
        <w:rPr>
          <w:sz w:val="20"/>
          <w:szCs w:val="20"/>
        </w:rPr>
        <w:t xml:space="preserve">54,990,764 </w:t>
      </w:r>
      <w:r>
        <w:rPr>
          <w:sz w:val="20"/>
          <w:szCs w:val="20"/>
        </w:rPr>
        <w:t>Ordinary Shares</w:t>
      </w:r>
      <w:r w:rsidRPr="00BC046D">
        <w:rPr>
          <w:sz w:val="20"/>
          <w:szCs w:val="20"/>
        </w:rPr>
        <w:t xml:space="preserve"> </w:t>
      </w:r>
      <w:r w:rsidR="00485279">
        <w:rPr>
          <w:sz w:val="20"/>
          <w:szCs w:val="20"/>
        </w:rPr>
        <w:t xml:space="preserve">issued and </w:t>
      </w:r>
      <w:r w:rsidRPr="00BC046D">
        <w:rPr>
          <w:sz w:val="20"/>
          <w:szCs w:val="20"/>
        </w:rPr>
        <w:t xml:space="preserve">outstanding on </w:t>
      </w:r>
      <w:r w:rsidR="00361A43">
        <w:rPr>
          <w:sz w:val="20"/>
          <w:szCs w:val="20"/>
        </w:rPr>
        <w:t xml:space="preserve">August </w:t>
      </w:r>
      <w:r w:rsidR="00411EBE">
        <w:rPr>
          <w:sz w:val="20"/>
          <w:szCs w:val="20"/>
        </w:rPr>
        <w:t>9</w:t>
      </w:r>
      <w:r w:rsidRPr="00BC046D">
        <w:rPr>
          <w:sz w:val="20"/>
          <w:szCs w:val="20"/>
        </w:rPr>
        <w:t>, 202</w:t>
      </w:r>
      <w:r>
        <w:rPr>
          <w:sz w:val="20"/>
          <w:szCs w:val="20"/>
        </w:rPr>
        <w:t>1</w:t>
      </w:r>
      <w:r w:rsidRPr="00BC046D">
        <w:rPr>
          <w:sz w:val="20"/>
          <w:szCs w:val="20"/>
        </w:rPr>
        <w:t xml:space="preserve">. Unless otherwise indicated, the address of each of the individuals and entities named below is c/o </w:t>
      </w:r>
      <w:r>
        <w:rPr>
          <w:sz w:val="20"/>
          <w:szCs w:val="20"/>
        </w:rPr>
        <w:t>Bit Digital, Inc., 33 Irving Place, New York, N</w:t>
      </w:r>
      <w:r w:rsidR="00485279">
        <w:rPr>
          <w:sz w:val="20"/>
          <w:szCs w:val="20"/>
        </w:rPr>
        <w:t xml:space="preserve">ew </w:t>
      </w:r>
      <w:r>
        <w:rPr>
          <w:sz w:val="20"/>
          <w:szCs w:val="20"/>
        </w:rPr>
        <w:t>Y</w:t>
      </w:r>
      <w:r w:rsidR="00485279">
        <w:rPr>
          <w:sz w:val="20"/>
          <w:szCs w:val="20"/>
        </w:rPr>
        <w:t>ork</w:t>
      </w:r>
      <w:r>
        <w:rPr>
          <w:sz w:val="20"/>
          <w:szCs w:val="20"/>
        </w:rPr>
        <w:t xml:space="preserve"> 10003.</w:t>
      </w:r>
    </w:p>
    <w:p w:rsidR="005C4BB4" w:rsidP="005C4BB4">
      <w:pPr>
        <w:rPr>
          <w:sz w:val="20"/>
          <w:szCs w:val="20"/>
        </w:rPr>
      </w:pPr>
      <w:r w:rsidRPr="00E0356D">
        <w:rPr>
          <w:sz w:val="20"/>
          <w:szCs w:val="20"/>
        </w:rPr>
        <w:t> </w:t>
      </w:r>
    </w:p>
    <w:tbl>
      <w:tblPr>
        <w:tblW w:w="5000" w:type="pct"/>
        <w:tblCellMar>
          <w:left w:w="0" w:type="dxa"/>
          <w:right w:w="0" w:type="dxa"/>
        </w:tblCellMar>
        <w:tblLook w:val="04A0"/>
      </w:tblPr>
      <w:tblGrid>
        <w:gridCol w:w="54"/>
        <w:gridCol w:w="339"/>
        <w:gridCol w:w="6667"/>
        <w:gridCol w:w="57"/>
        <w:gridCol w:w="68"/>
        <w:gridCol w:w="901"/>
        <w:gridCol w:w="153"/>
        <w:gridCol w:w="66"/>
        <w:gridCol w:w="64"/>
        <w:gridCol w:w="774"/>
        <w:gridCol w:w="217"/>
      </w:tblGrid>
      <w:tr w:rsidTr="001710E0">
        <w:tblPrEx>
          <w:tblW w:w="5000" w:type="pct"/>
          <w:tblCellMar>
            <w:left w:w="0" w:type="dxa"/>
            <w:right w:w="0" w:type="dxa"/>
          </w:tblCellMar>
          <w:tblLook w:val="04A0"/>
        </w:tblPrEx>
        <w:trPr>
          <w:tblHeader/>
        </w:trPr>
        <w:tc>
          <w:tcPr>
            <w:tcW w:w="3779" w:type="pct"/>
            <w:gridSpan w:val="3"/>
            <w:tcBorders>
              <w:bottom w:val="single" w:sz="12" w:space="0" w:color="000000"/>
            </w:tcBorders>
            <w:vAlign w:val="bottom"/>
            <w:hideMark/>
          </w:tcPr>
          <w:p w:rsidR="005C4BB4" w:rsidRPr="00BD60B6" w:rsidP="005C4BB4">
            <w:pPr>
              <w:rPr>
                <w:b/>
                <w:bCs/>
                <w:sz w:val="20"/>
                <w:szCs w:val="20"/>
                <w:lang w:eastAsia="en-US"/>
              </w:rPr>
            </w:pPr>
            <w:r w:rsidRPr="00BD60B6">
              <w:rPr>
                <w:b/>
                <w:bCs/>
                <w:sz w:val="20"/>
                <w:szCs w:val="20"/>
                <w:lang w:eastAsia="en-US"/>
              </w:rPr>
              <w:t>Name of Beneficial Owners</w:t>
            </w:r>
            <w:r w:rsidRPr="00BD60B6">
              <w:rPr>
                <w:b/>
                <w:bCs/>
                <w:sz w:val="20"/>
                <w:szCs w:val="20"/>
                <w:vertAlign w:val="superscript"/>
                <w:lang w:eastAsia="en-US"/>
              </w:rPr>
              <w:t>(1)</w:t>
            </w:r>
          </w:p>
        </w:tc>
        <w:tc>
          <w:tcPr>
            <w:tcW w:w="34" w:type="pct"/>
            <w:vAlign w:val="bottom"/>
            <w:hideMark/>
          </w:tcPr>
          <w:p w:rsidR="005C4BB4" w:rsidRPr="00BD60B6" w:rsidP="005C4BB4">
            <w:pPr>
              <w:rPr>
                <w:b/>
                <w:bCs/>
                <w:sz w:val="20"/>
                <w:szCs w:val="20"/>
                <w:lang w:eastAsia="en-US"/>
              </w:rPr>
            </w:pPr>
            <w:r w:rsidRPr="00BD60B6">
              <w:rPr>
                <w:b/>
                <w:bCs/>
                <w:sz w:val="20"/>
                <w:szCs w:val="20"/>
                <w:lang w:eastAsia="en-US"/>
              </w:rPr>
              <w:t> </w:t>
            </w:r>
          </w:p>
        </w:tc>
        <w:tc>
          <w:tcPr>
            <w:tcW w:w="1098" w:type="pct"/>
            <w:gridSpan w:val="6"/>
            <w:tcBorders>
              <w:bottom w:val="single" w:sz="12" w:space="0" w:color="000000"/>
            </w:tcBorders>
            <w:vAlign w:val="bottom"/>
            <w:hideMark/>
          </w:tcPr>
          <w:p w:rsidR="005C4BB4" w:rsidRPr="00BD60B6" w:rsidP="005C4BB4">
            <w:pPr>
              <w:jc w:val="center"/>
              <w:rPr>
                <w:b/>
                <w:bCs/>
                <w:sz w:val="20"/>
                <w:szCs w:val="20"/>
                <w:lang w:eastAsia="en-US"/>
              </w:rPr>
            </w:pPr>
            <w:r w:rsidRPr="00BD60B6">
              <w:rPr>
                <w:b/>
                <w:bCs/>
                <w:sz w:val="20"/>
                <w:szCs w:val="20"/>
                <w:lang w:eastAsia="en-US"/>
              </w:rPr>
              <w:t>Voting Securities</w:t>
            </w:r>
            <w:r w:rsidRPr="00BD60B6">
              <w:rPr>
                <w:b/>
                <w:bCs/>
                <w:sz w:val="20"/>
                <w:szCs w:val="20"/>
                <w:lang w:eastAsia="en-US"/>
              </w:rPr>
              <w:br/>
              <w:t>Beneficially Owned</w:t>
            </w:r>
            <w:r w:rsidRPr="00BD60B6">
              <w:rPr>
                <w:b/>
                <w:bCs/>
                <w:sz w:val="20"/>
                <w:szCs w:val="20"/>
                <w:vertAlign w:val="superscript"/>
                <w:lang w:eastAsia="en-US"/>
              </w:rPr>
              <w:t>(2)</w:t>
            </w:r>
          </w:p>
        </w:tc>
        <w:tc>
          <w:tcPr>
            <w:tcW w:w="89" w:type="pct"/>
            <w:vAlign w:val="bottom"/>
            <w:hideMark/>
          </w:tcPr>
          <w:p w:rsidR="005C4BB4" w:rsidRPr="00BD60B6" w:rsidP="005C4BB4">
            <w:pPr>
              <w:rPr>
                <w:b/>
                <w:bCs/>
                <w:sz w:val="20"/>
                <w:szCs w:val="20"/>
                <w:lang w:eastAsia="en-US"/>
              </w:rPr>
            </w:pPr>
            <w:r w:rsidRPr="00BD60B6">
              <w:rPr>
                <w:b/>
                <w:bCs/>
                <w:sz w:val="20"/>
                <w:szCs w:val="20"/>
                <w:lang w:eastAsia="en-US"/>
              </w:rPr>
              <w:t> </w:t>
            </w:r>
          </w:p>
        </w:tc>
      </w:tr>
      <w:tr w:rsidTr="001710E0">
        <w:tblPrEx>
          <w:tblW w:w="5000" w:type="pct"/>
          <w:tblCellMar>
            <w:left w:w="0" w:type="dxa"/>
            <w:right w:w="0" w:type="dxa"/>
          </w:tblCellMar>
          <w:tblLook w:val="04A0"/>
        </w:tblPrEx>
        <w:trPr>
          <w:tblHeader/>
        </w:trPr>
        <w:tc>
          <w:tcPr>
            <w:tcW w:w="3779" w:type="pct"/>
            <w:gridSpan w:val="3"/>
            <w:vAlign w:val="bottom"/>
            <w:hideMark/>
          </w:tcPr>
          <w:p w:rsidR="005C4BB4" w:rsidRPr="00BD60B6" w:rsidP="005C4BB4">
            <w:pPr>
              <w:rPr>
                <w:sz w:val="20"/>
                <w:szCs w:val="20"/>
                <w:lang w:eastAsia="en-US"/>
              </w:rPr>
            </w:pPr>
            <w:r w:rsidRPr="00BD60B6">
              <w:rPr>
                <w:sz w:val="20"/>
                <w:szCs w:val="20"/>
                <w:lang w:eastAsia="en-US"/>
              </w:rPr>
              <w:t> </w:t>
            </w:r>
          </w:p>
        </w:tc>
        <w:tc>
          <w:tcPr>
            <w:tcW w:w="34" w:type="pct"/>
            <w:tcMar>
              <w:top w:w="0" w:type="dxa"/>
              <w:left w:w="0" w:type="dxa"/>
              <w:bottom w:w="30" w:type="dxa"/>
              <w:right w:w="0" w:type="dxa"/>
            </w:tcMar>
            <w:vAlign w:val="bottom"/>
            <w:hideMark/>
          </w:tcPr>
          <w:p w:rsidR="005C4BB4" w:rsidRPr="00BD60B6" w:rsidP="005C4BB4">
            <w:pPr>
              <w:rPr>
                <w:b/>
                <w:bCs/>
                <w:sz w:val="20"/>
                <w:szCs w:val="20"/>
                <w:lang w:eastAsia="en-US"/>
              </w:rPr>
            </w:pPr>
            <w:r w:rsidRPr="00BD60B6">
              <w:rPr>
                <w:b/>
                <w:bCs/>
                <w:sz w:val="20"/>
                <w:szCs w:val="20"/>
                <w:lang w:eastAsia="en-US"/>
              </w:rPr>
              <w:t> </w:t>
            </w:r>
          </w:p>
        </w:tc>
        <w:tc>
          <w:tcPr>
            <w:tcW w:w="521" w:type="pct"/>
            <w:gridSpan w:val="2"/>
            <w:tcBorders>
              <w:bottom w:val="single" w:sz="12" w:space="0" w:color="000000"/>
            </w:tcBorders>
            <w:vAlign w:val="bottom"/>
            <w:hideMark/>
          </w:tcPr>
          <w:p w:rsidR="005C4BB4" w:rsidRPr="00BD60B6" w:rsidP="005C4BB4">
            <w:pPr>
              <w:jc w:val="center"/>
              <w:rPr>
                <w:b/>
                <w:bCs/>
                <w:sz w:val="20"/>
                <w:szCs w:val="20"/>
                <w:lang w:eastAsia="en-US"/>
              </w:rPr>
            </w:pPr>
            <w:r w:rsidRPr="00BD60B6">
              <w:rPr>
                <w:b/>
                <w:bCs/>
                <w:sz w:val="20"/>
                <w:szCs w:val="20"/>
                <w:lang w:eastAsia="en-US"/>
              </w:rPr>
              <w:t>Number</w:t>
            </w:r>
          </w:p>
        </w:tc>
        <w:tc>
          <w:tcPr>
            <w:tcW w:w="82" w:type="pct"/>
            <w:tcMar>
              <w:top w:w="0" w:type="dxa"/>
              <w:left w:w="0" w:type="dxa"/>
              <w:bottom w:w="30" w:type="dxa"/>
              <w:right w:w="0" w:type="dxa"/>
            </w:tcMar>
            <w:vAlign w:val="bottom"/>
            <w:hideMark/>
          </w:tcPr>
          <w:p w:rsidR="005C4BB4" w:rsidRPr="00BD60B6" w:rsidP="005C4BB4">
            <w:pPr>
              <w:rPr>
                <w:b/>
                <w:bCs/>
                <w:sz w:val="20"/>
                <w:szCs w:val="20"/>
                <w:lang w:eastAsia="en-US"/>
              </w:rPr>
            </w:pPr>
            <w:r w:rsidRPr="00BD60B6">
              <w:rPr>
                <w:b/>
                <w:bCs/>
                <w:sz w:val="20"/>
                <w:szCs w:val="20"/>
                <w:lang w:eastAsia="en-US"/>
              </w:rPr>
              <w:t> </w:t>
            </w:r>
          </w:p>
        </w:tc>
        <w:tc>
          <w:tcPr>
            <w:tcW w:w="40" w:type="pct"/>
            <w:tcMar>
              <w:top w:w="0" w:type="dxa"/>
              <w:left w:w="0" w:type="dxa"/>
              <w:bottom w:w="30" w:type="dxa"/>
              <w:right w:w="0" w:type="dxa"/>
            </w:tcMar>
            <w:vAlign w:val="bottom"/>
            <w:hideMark/>
          </w:tcPr>
          <w:p w:rsidR="005C4BB4" w:rsidRPr="00BD60B6" w:rsidP="005C4BB4">
            <w:pPr>
              <w:rPr>
                <w:b/>
                <w:bCs/>
                <w:sz w:val="20"/>
                <w:szCs w:val="20"/>
                <w:lang w:eastAsia="en-US"/>
              </w:rPr>
            </w:pPr>
            <w:r w:rsidRPr="00BD60B6">
              <w:rPr>
                <w:b/>
                <w:bCs/>
                <w:sz w:val="20"/>
                <w:szCs w:val="20"/>
                <w:lang w:eastAsia="en-US"/>
              </w:rPr>
              <w:t> </w:t>
            </w:r>
          </w:p>
        </w:tc>
        <w:tc>
          <w:tcPr>
            <w:tcW w:w="456" w:type="pct"/>
            <w:gridSpan w:val="2"/>
            <w:tcBorders>
              <w:bottom w:val="single" w:sz="12" w:space="0" w:color="000000"/>
            </w:tcBorders>
            <w:vAlign w:val="bottom"/>
            <w:hideMark/>
          </w:tcPr>
          <w:p w:rsidR="005C4BB4" w:rsidRPr="00BD60B6" w:rsidP="005C4BB4">
            <w:pPr>
              <w:jc w:val="center"/>
              <w:rPr>
                <w:b/>
                <w:bCs/>
                <w:sz w:val="20"/>
                <w:szCs w:val="20"/>
                <w:lang w:eastAsia="en-US"/>
              </w:rPr>
            </w:pPr>
            <w:r w:rsidRPr="00BD60B6">
              <w:rPr>
                <w:b/>
                <w:bCs/>
                <w:sz w:val="20"/>
                <w:szCs w:val="20"/>
                <w:lang w:eastAsia="en-US"/>
              </w:rPr>
              <w:t>%</w:t>
            </w:r>
          </w:p>
        </w:tc>
        <w:tc>
          <w:tcPr>
            <w:tcW w:w="89" w:type="pct"/>
            <w:tcMar>
              <w:top w:w="0" w:type="dxa"/>
              <w:left w:w="0" w:type="dxa"/>
              <w:bottom w:w="30" w:type="dxa"/>
              <w:right w:w="0" w:type="dxa"/>
            </w:tcMar>
            <w:vAlign w:val="bottom"/>
            <w:hideMark/>
          </w:tcPr>
          <w:p w:rsidR="005C4BB4" w:rsidRPr="00BD60B6" w:rsidP="005C4BB4">
            <w:pPr>
              <w:rPr>
                <w:b/>
                <w:bCs/>
                <w:sz w:val="20"/>
                <w:szCs w:val="20"/>
                <w:lang w:eastAsia="en-US"/>
              </w:rPr>
            </w:pPr>
            <w:r w:rsidRPr="00BD60B6">
              <w:rPr>
                <w:b/>
                <w:bCs/>
                <w:sz w:val="20"/>
                <w:szCs w:val="20"/>
                <w:lang w:eastAsia="en-US"/>
              </w:rPr>
              <w:t> </w:t>
            </w:r>
          </w:p>
        </w:tc>
      </w:tr>
      <w:tr w:rsidTr="001710E0">
        <w:tblPrEx>
          <w:tblW w:w="5000" w:type="pct"/>
          <w:tblCellMar>
            <w:left w:w="0" w:type="dxa"/>
            <w:right w:w="0" w:type="dxa"/>
          </w:tblCellMar>
          <w:tblLook w:val="04A0"/>
        </w:tblPrEx>
        <w:trPr>
          <w:tblHeader/>
        </w:trPr>
        <w:tc>
          <w:tcPr>
            <w:tcW w:w="3779" w:type="pct"/>
            <w:gridSpan w:val="3"/>
            <w:shd w:val="clear" w:color="auto" w:fill="FFFFFF"/>
            <w:tcMar>
              <w:top w:w="0" w:type="dxa"/>
              <w:left w:w="180" w:type="dxa"/>
              <w:bottom w:w="0" w:type="dxa"/>
              <w:right w:w="0" w:type="dxa"/>
            </w:tcMar>
            <w:vAlign w:val="bottom"/>
            <w:hideMark/>
          </w:tcPr>
          <w:p w:rsidR="005C4BB4" w:rsidRPr="00BD60B6" w:rsidP="005C4BB4">
            <w:pPr>
              <w:ind w:hanging="180"/>
              <w:rPr>
                <w:b/>
                <w:bCs/>
                <w:sz w:val="20"/>
                <w:szCs w:val="20"/>
                <w:lang w:eastAsia="en-US"/>
              </w:rPr>
            </w:pPr>
            <w:r w:rsidRPr="00BD60B6">
              <w:rPr>
                <w:b/>
                <w:bCs/>
                <w:sz w:val="20"/>
                <w:szCs w:val="20"/>
                <w:lang w:eastAsia="en-US"/>
              </w:rPr>
              <w:t>Directors and Executive Officers:</w:t>
            </w:r>
          </w:p>
        </w:tc>
        <w:tc>
          <w:tcPr>
            <w:tcW w:w="34"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0"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81" w:type="pct"/>
            <w:shd w:val="clear" w:color="auto" w:fill="FFFFFF"/>
            <w:vAlign w:val="bottom"/>
            <w:hideMark/>
          </w:tcPr>
          <w:p w:rsidR="005C4BB4" w:rsidRPr="00BD60B6" w:rsidP="005C4BB4">
            <w:pPr>
              <w:jc w:val="right"/>
              <w:rPr>
                <w:sz w:val="20"/>
                <w:szCs w:val="20"/>
                <w:lang w:eastAsia="en-US"/>
              </w:rPr>
            </w:pPr>
            <w:r w:rsidRPr="00BD60B6">
              <w:rPr>
                <w:sz w:val="20"/>
                <w:szCs w:val="20"/>
                <w:lang w:eastAsia="en-US"/>
              </w:rPr>
              <w:t> </w:t>
            </w:r>
          </w:p>
        </w:tc>
        <w:tc>
          <w:tcPr>
            <w:tcW w:w="82"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0"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39"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17" w:type="pct"/>
            <w:shd w:val="clear" w:color="auto" w:fill="FFFFFF"/>
            <w:vAlign w:val="bottom"/>
            <w:hideMark/>
          </w:tcPr>
          <w:p w:rsidR="005C4BB4" w:rsidRPr="00BD60B6" w:rsidP="005C4BB4">
            <w:pPr>
              <w:jc w:val="right"/>
              <w:rPr>
                <w:sz w:val="20"/>
                <w:szCs w:val="20"/>
                <w:lang w:eastAsia="en-US"/>
              </w:rPr>
            </w:pPr>
            <w:r w:rsidRPr="00BD60B6">
              <w:rPr>
                <w:sz w:val="20"/>
                <w:szCs w:val="20"/>
                <w:lang w:eastAsia="en-US"/>
              </w:rPr>
              <w:t> </w:t>
            </w:r>
          </w:p>
        </w:tc>
        <w:tc>
          <w:tcPr>
            <w:tcW w:w="89"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r>
      <w:tr w:rsidTr="00361A43">
        <w:tblPrEx>
          <w:tblW w:w="5000" w:type="pct"/>
          <w:tblCellMar>
            <w:left w:w="0" w:type="dxa"/>
            <w:right w:w="0" w:type="dxa"/>
          </w:tblCellMar>
          <w:tblLook w:val="04A0"/>
        </w:tblPrEx>
        <w:tc>
          <w:tcPr>
            <w:tcW w:w="3779" w:type="pct"/>
            <w:gridSpan w:val="3"/>
            <w:shd w:val="clear" w:color="auto" w:fill="CCEEFF"/>
            <w:tcMar>
              <w:top w:w="0" w:type="dxa"/>
              <w:left w:w="180" w:type="dxa"/>
              <w:bottom w:w="0" w:type="dxa"/>
              <w:right w:w="0" w:type="dxa"/>
            </w:tcMar>
            <w:vAlign w:val="bottom"/>
            <w:hideMark/>
          </w:tcPr>
          <w:p w:rsidR="005C4BB4" w:rsidRPr="00BD60B6" w:rsidP="005C4BB4">
            <w:pPr>
              <w:ind w:hanging="180"/>
              <w:rPr>
                <w:sz w:val="20"/>
                <w:szCs w:val="20"/>
                <w:lang w:eastAsia="en-US"/>
              </w:rPr>
            </w:pPr>
            <w:r w:rsidRPr="00BD60B6">
              <w:rPr>
                <w:sz w:val="20"/>
                <w:szCs w:val="20"/>
                <w:lang w:eastAsia="en-US"/>
              </w:rPr>
              <w:t>Erke Huang</w:t>
            </w:r>
          </w:p>
        </w:tc>
        <w:tc>
          <w:tcPr>
            <w:tcW w:w="34"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40"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481" w:type="pct"/>
            <w:shd w:val="clear" w:color="auto" w:fill="CCEEFF"/>
            <w:vAlign w:val="bottom"/>
            <w:hideMark/>
          </w:tcPr>
          <w:p w:rsidR="005C4BB4" w:rsidRPr="00BD60B6" w:rsidP="005C4BB4">
            <w:pPr>
              <w:jc w:val="right"/>
              <w:rPr>
                <w:sz w:val="20"/>
                <w:szCs w:val="20"/>
                <w:lang w:eastAsia="en-US"/>
              </w:rPr>
            </w:pPr>
            <w:r w:rsidRPr="00BD60B6">
              <w:rPr>
                <w:sz w:val="20"/>
                <w:szCs w:val="20"/>
                <w:lang w:eastAsia="en-US"/>
              </w:rPr>
              <w:t>15,0</w:t>
            </w:r>
            <w:r w:rsidRPr="00BD60B6">
              <w:rPr>
                <w:sz w:val="20"/>
                <w:szCs w:val="20"/>
                <w:lang w:eastAsia="en-US"/>
              </w:rPr>
              <w:t>00,000</w:t>
            </w:r>
          </w:p>
        </w:tc>
        <w:tc>
          <w:tcPr>
            <w:tcW w:w="82" w:type="pct"/>
            <w:shd w:val="clear" w:color="auto" w:fill="CCEEFF"/>
            <w:vAlign w:val="bottom"/>
            <w:hideMark/>
          </w:tcPr>
          <w:p w:rsidR="005C4BB4" w:rsidRPr="00BD60B6" w:rsidP="005C4BB4">
            <w:pPr>
              <w:rPr>
                <w:sz w:val="20"/>
                <w:szCs w:val="20"/>
                <w:lang w:eastAsia="en-US"/>
              </w:rPr>
            </w:pPr>
            <w:r w:rsidRPr="00BD60B6">
              <w:rPr>
                <w:sz w:val="20"/>
                <w:szCs w:val="20"/>
                <w:vertAlign w:val="superscript"/>
                <w:lang w:eastAsia="en-US"/>
              </w:rPr>
              <w:t>(3)</w:t>
            </w:r>
          </w:p>
        </w:tc>
        <w:tc>
          <w:tcPr>
            <w:tcW w:w="40"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39"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417" w:type="pct"/>
            <w:shd w:val="clear" w:color="auto" w:fill="CCEEFF"/>
            <w:vAlign w:val="bottom"/>
            <w:hideMark/>
          </w:tcPr>
          <w:p w:rsidR="005C4BB4" w:rsidRPr="00BD60B6" w:rsidP="005C4BB4">
            <w:pPr>
              <w:jc w:val="right"/>
              <w:rPr>
                <w:sz w:val="20"/>
                <w:szCs w:val="20"/>
                <w:lang w:eastAsia="en-US"/>
              </w:rPr>
            </w:pPr>
            <w:r w:rsidRPr="00BD60B6">
              <w:rPr>
                <w:sz w:val="20"/>
                <w:szCs w:val="20"/>
                <w:lang w:eastAsia="en-US"/>
              </w:rPr>
              <w:t>47.8</w:t>
            </w:r>
          </w:p>
        </w:tc>
        <w:tc>
          <w:tcPr>
            <w:tcW w:w="89"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r w:rsidRPr="00BD60B6" w:rsidR="00BD60B6">
              <w:rPr>
                <w:sz w:val="20"/>
                <w:szCs w:val="20"/>
                <w:lang w:eastAsia="en-US"/>
              </w:rPr>
              <w:t>%</w:t>
            </w:r>
          </w:p>
        </w:tc>
      </w:tr>
      <w:tr w:rsidTr="00361A43">
        <w:tblPrEx>
          <w:tblW w:w="5000" w:type="pct"/>
          <w:tblCellMar>
            <w:left w:w="0" w:type="dxa"/>
            <w:right w:w="0" w:type="dxa"/>
          </w:tblCellMar>
          <w:tblLook w:val="04A0"/>
        </w:tblPrEx>
        <w:tc>
          <w:tcPr>
            <w:tcW w:w="3779" w:type="pct"/>
            <w:gridSpan w:val="3"/>
            <w:shd w:val="clear" w:color="auto" w:fill="FFFFFF"/>
            <w:tcMar>
              <w:top w:w="0" w:type="dxa"/>
              <w:left w:w="180" w:type="dxa"/>
              <w:bottom w:w="0" w:type="dxa"/>
              <w:right w:w="0" w:type="dxa"/>
            </w:tcMar>
            <w:vAlign w:val="bottom"/>
          </w:tcPr>
          <w:p w:rsidR="00361A43" w:rsidRPr="00BD60B6" w:rsidP="005C4BB4">
            <w:pPr>
              <w:ind w:hanging="180"/>
              <w:rPr>
                <w:sz w:val="20"/>
                <w:szCs w:val="20"/>
                <w:lang w:eastAsia="en-US"/>
              </w:rPr>
            </w:pPr>
            <w:r w:rsidRPr="00BD60B6">
              <w:rPr>
                <w:sz w:val="20"/>
                <w:szCs w:val="20"/>
                <w:lang w:eastAsia="en-US"/>
              </w:rPr>
              <w:t>Bryan Bullett</w:t>
            </w:r>
          </w:p>
        </w:tc>
        <w:tc>
          <w:tcPr>
            <w:tcW w:w="34" w:type="pct"/>
            <w:shd w:val="clear" w:color="auto" w:fill="FFFFFF"/>
            <w:vAlign w:val="bottom"/>
          </w:tcPr>
          <w:p w:rsidR="00361A43" w:rsidRPr="00BD60B6" w:rsidP="005C4BB4">
            <w:pPr>
              <w:rPr>
                <w:sz w:val="20"/>
                <w:szCs w:val="20"/>
                <w:lang w:eastAsia="en-US"/>
              </w:rPr>
            </w:pPr>
          </w:p>
        </w:tc>
        <w:tc>
          <w:tcPr>
            <w:tcW w:w="40" w:type="pct"/>
            <w:shd w:val="clear" w:color="auto" w:fill="FFFFFF"/>
            <w:vAlign w:val="bottom"/>
          </w:tcPr>
          <w:p w:rsidR="00361A43" w:rsidRPr="00BD60B6" w:rsidP="005C4BB4">
            <w:pPr>
              <w:rPr>
                <w:sz w:val="20"/>
                <w:szCs w:val="20"/>
                <w:lang w:eastAsia="en-US"/>
              </w:rPr>
            </w:pPr>
          </w:p>
        </w:tc>
        <w:tc>
          <w:tcPr>
            <w:tcW w:w="481" w:type="pct"/>
            <w:shd w:val="clear" w:color="auto" w:fill="FFFFFF"/>
            <w:vAlign w:val="bottom"/>
          </w:tcPr>
          <w:p w:rsidR="00361A43" w:rsidRPr="00BD60B6" w:rsidP="005C4BB4">
            <w:pPr>
              <w:jc w:val="right"/>
              <w:rPr>
                <w:sz w:val="20"/>
                <w:szCs w:val="20"/>
                <w:lang w:eastAsia="en-US"/>
              </w:rPr>
            </w:pPr>
            <w:r w:rsidRPr="00BD60B6">
              <w:rPr>
                <w:sz w:val="20"/>
                <w:szCs w:val="20"/>
                <w:lang w:eastAsia="en-US"/>
              </w:rPr>
              <w:t>1</w:t>
            </w:r>
            <w:r w:rsidR="00F71DAB">
              <w:rPr>
                <w:sz w:val="20"/>
                <w:szCs w:val="20"/>
                <w:lang w:eastAsia="en-US"/>
              </w:rPr>
              <w:t>7</w:t>
            </w:r>
            <w:r w:rsidRPr="00BD60B6">
              <w:rPr>
                <w:sz w:val="20"/>
                <w:szCs w:val="20"/>
                <w:lang w:eastAsia="en-US"/>
              </w:rPr>
              <w:t>5,765</w:t>
            </w:r>
          </w:p>
        </w:tc>
        <w:tc>
          <w:tcPr>
            <w:tcW w:w="82" w:type="pct"/>
            <w:shd w:val="clear" w:color="auto" w:fill="FFFFFF"/>
            <w:vAlign w:val="bottom"/>
          </w:tcPr>
          <w:p w:rsidR="00361A43" w:rsidRPr="00BD60B6" w:rsidP="005C4BB4">
            <w:pPr>
              <w:rPr>
                <w:sz w:val="20"/>
                <w:szCs w:val="20"/>
                <w:vertAlign w:val="superscript"/>
                <w:lang w:eastAsia="en-US"/>
              </w:rPr>
            </w:pPr>
            <w:r w:rsidRPr="00BD60B6">
              <w:rPr>
                <w:sz w:val="20"/>
                <w:szCs w:val="20"/>
                <w:vertAlign w:val="superscript"/>
                <w:lang w:eastAsia="en-US"/>
              </w:rPr>
              <w:t>(4)</w:t>
            </w:r>
          </w:p>
        </w:tc>
        <w:tc>
          <w:tcPr>
            <w:tcW w:w="40" w:type="pct"/>
            <w:shd w:val="clear" w:color="auto" w:fill="FFFFFF"/>
            <w:vAlign w:val="bottom"/>
          </w:tcPr>
          <w:p w:rsidR="00361A43" w:rsidRPr="00BD60B6" w:rsidP="005C4BB4">
            <w:pPr>
              <w:rPr>
                <w:sz w:val="20"/>
                <w:szCs w:val="20"/>
                <w:lang w:eastAsia="en-US"/>
              </w:rPr>
            </w:pPr>
          </w:p>
        </w:tc>
        <w:tc>
          <w:tcPr>
            <w:tcW w:w="39" w:type="pct"/>
            <w:shd w:val="clear" w:color="auto" w:fill="FFFFFF"/>
            <w:vAlign w:val="bottom"/>
          </w:tcPr>
          <w:p w:rsidR="00361A43" w:rsidRPr="00BD60B6" w:rsidP="005C4BB4">
            <w:pPr>
              <w:rPr>
                <w:sz w:val="20"/>
                <w:szCs w:val="20"/>
                <w:lang w:eastAsia="en-US"/>
              </w:rPr>
            </w:pPr>
          </w:p>
        </w:tc>
        <w:tc>
          <w:tcPr>
            <w:tcW w:w="417" w:type="pct"/>
            <w:shd w:val="clear" w:color="auto" w:fill="FFFFFF"/>
            <w:vAlign w:val="bottom"/>
          </w:tcPr>
          <w:p w:rsidR="00361A43" w:rsidRPr="00BD60B6" w:rsidP="005C4BB4">
            <w:pPr>
              <w:jc w:val="right"/>
              <w:rPr>
                <w:sz w:val="20"/>
                <w:szCs w:val="20"/>
                <w:lang w:eastAsia="en-US"/>
              </w:rPr>
            </w:pPr>
          </w:p>
        </w:tc>
        <w:tc>
          <w:tcPr>
            <w:tcW w:w="89" w:type="pct"/>
            <w:shd w:val="clear" w:color="auto" w:fill="FFFFFF"/>
            <w:vAlign w:val="bottom"/>
          </w:tcPr>
          <w:p w:rsidR="00361A43" w:rsidRPr="00BD60B6" w:rsidP="005C4BB4">
            <w:pPr>
              <w:rPr>
                <w:sz w:val="20"/>
                <w:szCs w:val="20"/>
                <w:lang w:eastAsia="en-US"/>
              </w:rPr>
            </w:pPr>
          </w:p>
        </w:tc>
      </w:tr>
      <w:tr w:rsidTr="00361A43">
        <w:tblPrEx>
          <w:tblW w:w="5000" w:type="pct"/>
          <w:tblCellMar>
            <w:left w:w="0" w:type="dxa"/>
            <w:right w:w="0" w:type="dxa"/>
          </w:tblCellMar>
          <w:tblLook w:val="04A0"/>
        </w:tblPrEx>
        <w:tc>
          <w:tcPr>
            <w:tcW w:w="3779" w:type="pct"/>
            <w:gridSpan w:val="3"/>
            <w:shd w:val="clear" w:color="auto" w:fill="FFFFFF"/>
            <w:tcMar>
              <w:top w:w="0" w:type="dxa"/>
              <w:left w:w="180" w:type="dxa"/>
              <w:bottom w:w="0" w:type="dxa"/>
              <w:right w:w="0" w:type="dxa"/>
            </w:tcMar>
            <w:vAlign w:val="bottom"/>
          </w:tcPr>
          <w:p w:rsidR="001710E0" w:rsidRPr="00BD60B6" w:rsidP="005C4BB4">
            <w:pPr>
              <w:ind w:hanging="180"/>
              <w:rPr>
                <w:sz w:val="20"/>
                <w:szCs w:val="20"/>
                <w:lang w:eastAsia="en-US"/>
              </w:rPr>
            </w:pPr>
            <w:r w:rsidRPr="00BD60B6">
              <w:rPr>
                <w:sz w:val="20"/>
                <w:szCs w:val="20"/>
                <w:lang w:eastAsia="en-US"/>
              </w:rPr>
              <w:t>Sam Tabar</w:t>
            </w:r>
          </w:p>
        </w:tc>
        <w:tc>
          <w:tcPr>
            <w:tcW w:w="34" w:type="pct"/>
            <w:shd w:val="clear" w:color="auto" w:fill="FFFFFF"/>
            <w:vAlign w:val="bottom"/>
          </w:tcPr>
          <w:p w:rsidR="001710E0" w:rsidRPr="00BD60B6" w:rsidP="005C4BB4">
            <w:pPr>
              <w:rPr>
                <w:sz w:val="20"/>
                <w:szCs w:val="20"/>
                <w:lang w:eastAsia="en-US"/>
              </w:rPr>
            </w:pPr>
          </w:p>
        </w:tc>
        <w:tc>
          <w:tcPr>
            <w:tcW w:w="40" w:type="pct"/>
            <w:shd w:val="clear" w:color="auto" w:fill="FFFFFF"/>
            <w:vAlign w:val="bottom"/>
          </w:tcPr>
          <w:p w:rsidR="001710E0" w:rsidRPr="00BD60B6" w:rsidP="005C4BB4">
            <w:pPr>
              <w:rPr>
                <w:sz w:val="20"/>
                <w:szCs w:val="20"/>
                <w:lang w:eastAsia="en-US"/>
              </w:rPr>
            </w:pPr>
          </w:p>
        </w:tc>
        <w:tc>
          <w:tcPr>
            <w:tcW w:w="481" w:type="pct"/>
            <w:shd w:val="clear" w:color="auto" w:fill="FFFFFF"/>
            <w:vAlign w:val="bottom"/>
          </w:tcPr>
          <w:p w:rsidR="001710E0" w:rsidRPr="00BD60B6" w:rsidP="005C4BB4">
            <w:pPr>
              <w:jc w:val="right"/>
              <w:rPr>
                <w:sz w:val="20"/>
                <w:szCs w:val="20"/>
                <w:lang w:eastAsia="en-US"/>
              </w:rPr>
            </w:pPr>
            <w:r w:rsidRPr="00BD60B6">
              <w:rPr>
                <w:sz w:val="20"/>
                <w:szCs w:val="20"/>
                <w:lang w:eastAsia="en-US"/>
              </w:rPr>
              <w:t>1</w:t>
            </w:r>
            <w:r w:rsidR="00F71DAB">
              <w:rPr>
                <w:sz w:val="20"/>
                <w:szCs w:val="20"/>
                <w:lang w:eastAsia="en-US"/>
              </w:rPr>
              <w:t>7</w:t>
            </w:r>
            <w:r w:rsidRPr="00BD60B6">
              <w:rPr>
                <w:sz w:val="20"/>
                <w:szCs w:val="20"/>
                <w:lang w:eastAsia="en-US"/>
              </w:rPr>
              <w:t>5,645</w:t>
            </w:r>
          </w:p>
        </w:tc>
        <w:tc>
          <w:tcPr>
            <w:tcW w:w="82" w:type="pct"/>
            <w:shd w:val="clear" w:color="auto" w:fill="FFFFFF"/>
            <w:vAlign w:val="bottom"/>
          </w:tcPr>
          <w:p w:rsidR="001710E0" w:rsidRPr="00BD60B6" w:rsidP="005C4BB4">
            <w:pPr>
              <w:rPr>
                <w:sz w:val="20"/>
                <w:szCs w:val="20"/>
                <w:vertAlign w:val="superscript"/>
                <w:lang w:eastAsia="en-US"/>
              </w:rPr>
            </w:pPr>
            <w:r w:rsidRPr="00BD60B6">
              <w:rPr>
                <w:sz w:val="20"/>
                <w:szCs w:val="20"/>
                <w:vertAlign w:val="superscript"/>
                <w:lang w:eastAsia="en-US"/>
              </w:rPr>
              <w:t>(4)</w:t>
            </w:r>
          </w:p>
        </w:tc>
        <w:tc>
          <w:tcPr>
            <w:tcW w:w="40" w:type="pct"/>
            <w:shd w:val="clear" w:color="auto" w:fill="FFFFFF"/>
            <w:vAlign w:val="bottom"/>
          </w:tcPr>
          <w:p w:rsidR="001710E0" w:rsidRPr="00BD60B6" w:rsidP="005C4BB4">
            <w:pPr>
              <w:rPr>
                <w:sz w:val="20"/>
                <w:szCs w:val="20"/>
                <w:lang w:eastAsia="en-US"/>
              </w:rPr>
            </w:pPr>
          </w:p>
        </w:tc>
        <w:tc>
          <w:tcPr>
            <w:tcW w:w="39" w:type="pct"/>
            <w:shd w:val="clear" w:color="auto" w:fill="FFFFFF"/>
            <w:vAlign w:val="bottom"/>
          </w:tcPr>
          <w:p w:rsidR="001710E0" w:rsidRPr="00BD60B6" w:rsidP="005C4BB4">
            <w:pPr>
              <w:rPr>
                <w:sz w:val="20"/>
                <w:szCs w:val="20"/>
                <w:lang w:eastAsia="en-US"/>
              </w:rPr>
            </w:pPr>
          </w:p>
        </w:tc>
        <w:tc>
          <w:tcPr>
            <w:tcW w:w="417" w:type="pct"/>
            <w:shd w:val="clear" w:color="auto" w:fill="FFFFFF"/>
            <w:vAlign w:val="bottom"/>
          </w:tcPr>
          <w:p w:rsidR="001710E0" w:rsidRPr="00BD60B6" w:rsidP="005C4BB4">
            <w:pPr>
              <w:jc w:val="right"/>
              <w:rPr>
                <w:sz w:val="20"/>
                <w:szCs w:val="20"/>
                <w:lang w:eastAsia="en-US"/>
              </w:rPr>
            </w:pPr>
          </w:p>
        </w:tc>
        <w:tc>
          <w:tcPr>
            <w:tcW w:w="89" w:type="pct"/>
            <w:shd w:val="clear" w:color="auto" w:fill="FFFFFF"/>
            <w:vAlign w:val="bottom"/>
          </w:tcPr>
          <w:p w:rsidR="001710E0" w:rsidRPr="00BD60B6" w:rsidP="005C4BB4">
            <w:pPr>
              <w:rPr>
                <w:sz w:val="20"/>
                <w:szCs w:val="20"/>
                <w:lang w:eastAsia="en-US"/>
              </w:rPr>
            </w:pPr>
          </w:p>
        </w:tc>
      </w:tr>
      <w:tr w:rsidTr="00361A43">
        <w:tblPrEx>
          <w:tblW w:w="5000" w:type="pct"/>
          <w:tblCellMar>
            <w:left w:w="0" w:type="dxa"/>
            <w:right w:w="0" w:type="dxa"/>
          </w:tblCellMar>
          <w:tblLook w:val="04A0"/>
        </w:tblPrEx>
        <w:tc>
          <w:tcPr>
            <w:tcW w:w="3779" w:type="pct"/>
            <w:gridSpan w:val="3"/>
            <w:shd w:val="clear" w:color="auto" w:fill="FFFFFF"/>
            <w:tcMar>
              <w:top w:w="0" w:type="dxa"/>
              <w:left w:w="180" w:type="dxa"/>
              <w:bottom w:w="0" w:type="dxa"/>
              <w:right w:w="0" w:type="dxa"/>
            </w:tcMar>
            <w:vAlign w:val="bottom"/>
            <w:hideMark/>
          </w:tcPr>
          <w:p w:rsidR="005C4BB4" w:rsidRPr="00BD60B6" w:rsidP="005C4BB4">
            <w:pPr>
              <w:ind w:hanging="180"/>
              <w:rPr>
                <w:sz w:val="20"/>
                <w:szCs w:val="20"/>
                <w:lang w:eastAsia="en-US"/>
              </w:rPr>
            </w:pPr>
            <w:r w:rsidRPr="00BD60B6">
              <w:rPr>
                <w:sz w:val="20"/>
                <w:szCs w:val="20"/>
                <w:lang w:eastAsia="en-US"/>
              </w:rPr>
              <w:t>Min Hu</w:t>
            </w:r>
          </w:p>
        </w:tc>
        <w:tc>
          <w:tcPr>
            <w:tcW w:w="34"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0"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81" w:type="pct"/>
            <w:shd w:val="clear" w:color="auto" w:fill="FFFFFF"/>
            <w:vAlign w:val="bottom"/>
            <w:hideMark/>
          </w:tcPr>
          <w:p w:rsidR="005C4BB4" w:rsidRPr="00BD60B6" w:rsidP="005C4BB4">
            <w:pPr>
              <w:jc w:val="right"/>
              <w:rPr>
                <w:sz w:val="20"/>
                <w:szCs w:val="20"/>
                <w:lang w:eastAsia="en-US"/>
              </w:rPr>
            </w:pPr>
            <w:r w:rsidRPr="00BD60B6">
              <w:rPr>
                <w:sz w:val="20"/>
                <w:szCs w:val="20"/>
                <w:lang w:eastAsia="en-US"/>
              </w:rPr>
              <w:t>-0-</w:t>
            </w:r>
            <w:r w:rsidRPr="00BD60B6">
              <w:rPr>
                <w:sz w:val="20"/>
                <w:szCs w:val="20"/>
                <w:lang w:eastAsia="en-US"/>
              </w:rPr>
              <w:t> </w:t>
            </w:r>
          </w:p>
        </w:tc>
        <w:tc>
          <w:tcPr>
            <w:tcW w:w="82"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0"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39"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17" w:type="pct"/>
            <w:shd w:val="clear" w:color="auto" w:fill="FFFFFF"/>
            <w:vAlign w:val="bottom"/>
            <w:hideMark/>
          </w:tcPr>
          <w:p w:rsidR="005C4BB4" w:rsidRPr="00BD60B6" w:rsidP="005C4BB4">
            <w:pPr>
              <w:jc w:val="right"/>
              <w:rPr>
                <w:sz w:val="20"/>
                <w:szCs w:val="20"/>
                <w:lang w:eastAsia="en-US"/>
              </w:rPr>
            </w:pPr>
            <w:r w:rsidRPr="00BD60B6">
              <w:rPr>
                <w:sz w:val="20"/>
                <w:szCs w:val="20"/>
                <w:lang w:eastAsia="en-US"/>
              </w:rPr>
              <w:t>-0</w:t>
            </w:r>
            <w:r w:rsidRPr="00BD60B6">
              <w:rPr>
                <w:sz w:val="20"/>
                <w:szCs w:val="20"/>
                <w:lang w:eastAsia="en-US"/>
              </w:rPr>
              <w:t>-</w:t>
            </w:r>
          </w:p>
        </w:tc>
        <w:tc>
          <w:tcPr>
            <w:tcW w:w="89"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r>
      <w:tr w:rsidTr="00361A43">
        <w:tblPrEx>
          <w:tblW w:w="5000" w:type="pct"/>
          <w:tblCellMar>
            <w:left w:w="0" w:type="dxa"/>
            <w:right w:w="0" w:type="dxa"/>
          </w:tblCellMar>
          <w:tblLook w:val="04A0"/>
        </w:tblPrEx>
        <w:tc>
          <w:tcPr>
            <w:tcW w:w="3779" w:type="pct"/>
            <w:gridSpan w:val="3"/>
            <w:shd w:val="clear" w:color="auto" w:fill="CCEEFF"/>
            <w:tcMar>
              <w:top w:w="0" w:type="dxa"/>
              <w:left w:w="180" w:type="dxa"/>
              <w:bottom w:w="0" w:type="dxa"/>
              <w:right w:w="0" w:type="dxa"/>
            </w:tcMar>
            <w:vAlign w:val="bottom"/>
            <w:hideMark/>
          </w:tcPr>
          <w:p w:rsidR="005C4BB4" w:rsidRPr="00BD60B6" w:rsidP="005C4BB4">
            <w:pPr>
              <w:ind w:hanging="180"/>
              <w:rPr>
                <w:sz w:val="20"/>
                <w:szCs w:val="20"/>
                <w:lang w:eastAsia="en-US"/>
              </w:rPr>
            </w:pPr>
            <w:r w:rsidRPr="00BD60B6">
              <w:rPr>
                <w:sz w:val="20"/>
                <w:szCs w:val="20"/>
                <w:lang w:eastAsia="en-US"/>
              </w:rPr>
              <w:t>Zhaohui Deng</w:t>
            </w:r>
          </w:p>
        </w:tc>
        <w:tc>
          <w:tcPr>
            <w:tcW w:w="34"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40"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481" w:type="pct"/>
            <w:shd w:val="clear" w:color="auto" w:fill="CCEEFF"/>
            <w:vAlign w:val="bottom"/>
            <w:hideMark/>
          </w:tcPr>
          <w:p w:rsidR="005C4BB4" w:rsidRPr="00BD60B6" w:rsidP="005C4BB4">
            <w:pPr>
              <w:jc w:val="right"/>
              <w:rPr>
                <w:sz w:val="20"/>
                <w:szCs w:val="20"/>
                <w:lang w:eastAsia="en-US"/>
              </w:rPr>
            </w:pPr>
            <w:r w:rsidRPr="00BD60B6">
              <w:rPr>
                <w:sz w:val="20"/>
                <w:szCs w:val="20"/>
                <w:lang w:eastAsia="en-US"/>
              </w:rPr>
              <w:t>35,0</w:t>
            </w:r>
            <w:r w:rsidRPr="00BD60B6">
              <w:rPr>
                <w:sz w:val="20"/>
                <w:szCs w:val="20"/>
                <w:lang w:eastAsia="en-US"/>
              </w:rPr>
              <w:t>00,000</w:t>
            </w:r>
          </w:p>
        </w:tc>
        <w:tc>
          <w:tcPr>
            <w:tcW w:w="82" w:type="pct"/>
            <w:shd w:val="clear" w:color="auto" w:fill="CCEEFF"/>
            <w:vAlign w:val="bottom"/>
            <w:hideMark/>
          </w:tcPr>
          <w:p w:rsidR="005C4BB4" w:rsidRPr="00BD60B6" w:rsidP="005C4BB4">
            <w:pPr>
              <w:rPr>
                <w:sz w:val="20"/>
                <w:szCs w:val="20"/>
                <w:lang w:eastAsia="en-US"/>
              </w:rPr>
            </w:pPr>
            <w:r w:rsidRPr="00BD60B6">
              <w:rPr>
                <w:sz w:val="20"/>
                <w:szCs w:val="20"/>
                <w:vertAlign w:val="superscript"/>
                <w:lang w:eastAsia="en-US"/>
              </w:rPr>
              <w:t>(3)</w:t>
            </w:r>
          </w:p>
        </w:tc>
        <w:tc>
          <w:tcPr>
            <w:tcW w:w="40"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39"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417" w:type="pct"/>
            <w:shd w:val="clear" w:color="auto" w:fill="CCEEFF"/>
            <w:vAlign w:val="bottom"/>
            <w:hideMark/>
          </w:tcPr>
          <w:p w:rsidR="005C4BB4" w:rsidRPr="00BD60B6" w:rsidP="005C4BB4">
            <w:pPr>
              <w:jc w:val="right"/>
              <w:rPr>
                <w:sz w:val="20"/>
                <w:szCs w:val="20"/>
                <w:lang w:eastAsia="en-US"/>
              </w:rPr>
            </w:pPr>
            <w:r w:rsidRPr="00BD60B6">
              <w:rPr>
                <w:sz w:val="20"/>
                <w:szCs w:val="20"/>
                <w:lang w:eastAsia="en-US"/>
              </w:rPr>
              <w:t>47.8</w:t>
            </w:r>
          </w:p>
        </w:tc>
        <w:tc>
          <w:tcPr>
            <w:tcW w:w="89" w:type="pct"/>
            <w:shd w:val="clear" w:color="auto" w:fill="CCEEFF"/>
            <w:vAlign w:val="bottom"/>
            <w:hideMark/>
          </w:tcPr>
          <w:p w:rsidR="005C4BB4" w:rsidRPr="00BD60B6" w:rsidP="005C4BB4">
            <w:pPr>
              <w:rPr>
                <w:sz w:val="20"/>
                <w:szCs w:val="20"/>
                <w:lang w:eastAsia="en-US"/>
              </w:rPr>
            </w:pPr>
            <w:r w:rsidRPr="00BD60B6">
              <w:rPr>
                <w:sz w:val="20"/>
                <w:szCs w:val="20"/>
                <w:lang w:eastAsia="en-US"/>
              </w:rPr>
              <w:t>%</w:t>
            </w:r>
          </w:p>
        </w:tc>
      </w:tr>
      <w:tr w:rsidTr="00361A43">
        <w:tblPrEx>
          <w:tblW w:w="5000" w:type="pct"/>
          <w:tblCellMar>
            <w:left w:w="0" w:type="dxa"/>
            <w:right w:w="0" w:type="dxa"/>
          </w:tblCellMar>
          <w:tblLook w:val="04A0"/>
        </w:tblPrEx>
        <w:tc>
          <w:tcPr>
            <w:tcW w:w="3779" w:type="pct"/>
            <w:gridSpan w:val="3"/>
            <w:shd w:val="clear" w:color="auto" w:fill="FFFFFF"/>
            <w:tcMar>
              <w:top w:w="0" w:type="dxa"/>
              <w:left w:w="180" w:type="dxa"/>
              <w:bottom w:w="0" w:type="dxa"/>
              <w:right w:w="0" w:type="dxa"/>
            </w:tcMar>
            <w:vAlign w:val="bottom"/>
            <w:hideMark/>
          </w:tcPr>
          <w:p w:rsidR="005C4BB4" w:rsidRPr="00BD60B6" w:rsidP="005C4BB4">
            <w:pPr>
              <w:ind w:hanging="180"/>
              <w:rPr>
                <w:sz w:val="20"/>
                <w:szCs w:val="20"/>
                <w:lang w:eastAsia="en-US"/>
              </w:rPr>
            </w:pPr>
            <w:r w:rsidRPr="00BD60B6">
              <w:rPr>
                <w:sz w:val="20"/>
                <w:szCs w:val="20"/>
                <w:lang w:eastAsia="en-US"/>
              </w:rPr>
              <w:t>Yan Xiong</w:t>
            </w:r>
          </w:p>
        </w:tc>
        <w:tc>
          <w:tcPr>
            <w:tcW w:w="34"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0"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81" w:type="pct"/>
            <w:shd w:val="clear" w:color="auto" w:fill="FFFFFF"/>
            <w:vAlign w:val="bottom"/>
            <w:hideMark/>
          </w:tcPr>
          <w:p w:rsidR="005C4BB4" w:rsidRPr="00BD60B6" w:rsidP="005C4BB4">
            <w:pPr>
              <w:jc w:val="right"/>
              <w:rPr>
                <w:sz w:val="20"/>
                <w:szCs w:val="20"/>
                <w:lang w:eastAsia="en-US"/>
              </w:rPr>
            </w:pPr>
            <w:r w:rsidRPr="00BD60B6">
              <w:rPr>
                <w:sz w:val="20"/>
                <w:szCs w:val="20"/>
                <w:lang w:eastAsia="en-US"/>
              </w:rPr>
              <w:t>-0</w:t>
            </w:r>
            <w:r w:rsidRPr="00BD60B6">
              <w:rPr>
                <w:sz w:val="20"/>
                <w:szCs w:val="20"/>
                <w:lang w:eastAsia="en-US"/>
              </w:rPr>
              <w:t>-</w:t>
            </w:r>
          </w:p>
        </w:tc>
        <w:tc>
          <w:tcPr>
            <w:tcW w:w="82"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0"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39"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17" w:type="pct"/>
            <w:shd w:val="clear" w:color="auto" w:fill="FFFFFF"/>
            <w:vAlign w:val="bottom"/>
            <w:hideMark/>
          </w:tcPr>
          <w:p w:rsidR="005C4BB4" w:rsidRPr="00BD60B6" w:rsidP="005C4BB4">
            <w:pPr>
              <w:jc w:val="right"/>
              <w:rPr>
                <w:sz w:val="20"/>
                <w:szCs w:val="20"/>
                <w:lang w:eastAsia="en-US"/>
              </w:rPr>
            </w:pPr>
            <w:r w:rsidRPr="00BD60B6">
              <w:rPr>
                <w:sz w:val="20"/>
                <w:szCs w:val="20"/>
                <w:lang w:eastAsia="en-US"/>
              </w:rPr>
              <w:t>-0</w:t>
            </w:r>
            <w:r w:rsidRPr="00BD60B6">
              <w:rPr>
                <w:sz w:val="20"/>
                <w:szCs w:val="20"/>
                <w:lang w:eastAsia="en-US"/>
              </w:rPr>
              <w:t>-</w:t>
            </w:r>
          </w:p>
        </w:tc>
        <w:tc>
          <w:tcPr>
            <w:tcW w:w="89"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r>
      <w:tr w:rsidTr="00361A43">
        <w:tblPrEx>
          <w:tblW w:w="5000" w:type="pct"/>
          <w:tblCellMar>
            <w:left w:w="0" w:type="dxa"/>
            <w:right w:w="0" w:type="dxa"/>
          </w:tblCellMar>
          <w:tblLook w:val="04A0"/>
        </w:tblPrEx>
        <w:tc>
          <w:tcPr>
            <w:tcW w:w="3779" w:type="pct"/>
            <w:gridSpan w:val="3"/>
            <w:shd w:val="clear" w:color="auto" w:fill="CCEEFF"/>
            <w:tcMar>
              <w:top w:w="0" w:type="dxa"/>
              <w:left w:w="180" w:type="dxa"/>
              <w:bottom w:w="0" w:type="dxa"/>
              <w:right w:w="0" w:type="dxa"/>
            </w:tcMar>
            <w:vAlign w:val="bottom"/>
            <w:hideMark/>
          </w:tcPr>
          <w:p w:rsidR="005C4BB4" w:rsidRPr="00BD60B6" w:rsidP="005C4BB4">
            <w:pPr>
              <w:ind w:hanging="180"/>
              <w:rPr>
                <w:sz w:val="20"/>
                <w:szCs w:val="20"/>
                <w:lang w:eastAsia="en-US"/>
              </w:rPr>
            </w:pPr>
            <w:r w:rsidRPr="00BD60B6">
              <w:rPr>
                <w:sz w:val="20"/>
                <w:szCs w:val="20"/>
                <w:lang w:eastAsia="en-US"/>
              </w:rPr>
              <w:t>Ichi Shih</w:t>
            </w:r>
          </w:p>
        </w:tc>
        <w:tc>
          <w:tcPr>
            <w:tcW w:w="34"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40"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481" w:type="pct"/>
            <w:shd w:val="clear" w:color="auto" w:fill="CCEEFF"/>
            <w:vAlign w:val="bottom"/>
            <w:hideMark/>
          </w:tcPr>
          <w:p w:rsidR="005C4BB4" w:rsidRPr="00BD60B6" w:rsidP="005C4BB4">
            <w:pPr>
              <w:jc w:val="right"/>
              <w:rPr>
                <w:sz w:val="20"/>
                <w:szCs w:val="20"/>
                <w:lang w:eastAsia="en-US"/>
              </w:rPr>
            </w:pPr>
            <w:r w:rsidRPr="00BD60B6">
              <w:rPr>
                <w:sz w:val="20"/>
                <w:szCs w:val="20"/>
                <w:lang w:eastAsia="en-US"/>
              </w:rPr>
              <w:t>-0</w:t>
            </w:r>
            <w:r w:rsidRPr="00BD60B6">
              <w:rPr>
                <w:sz w:val="20"/>
                <w:szCs w:val="20"/>
                <w:lang w:eastAsia="en-US"/>
              </w:rPr>
              <w:t>-</w:t>
            </w:r>
          </w:p>
        </w:tc>
        <w:tc>
          <w:tcPr>
            <w:tcW w:w="82"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40"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39"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417" w:type="pct"/>
            <w:shd w:val="clear" w:color="auto" w:fill="CCEEFF"/>
            <w:vAlign w:val="bottom"/>
            <w:hideMark/>
          </w:tcPr>
          <w:p w:rsidR="005C4BB4" w:rsidRPr="00BD60B6" w:rsidP="005C4BB4">
            <w:pPr>
              <w:jc w:val="right"/>
              <w:rPr>
                <w:sz w:val="20"/>
                <w:szCs w:val="20"/>
                <w:lang w:eastAsia="en-US"/>
              </w:rPr>
            </w:pPr>
            <w:r w:rsidRPr="00BD60B6">
              <w:rPr>
                <w:sz w:val="20"/>
                <w:szCs w:val="20"/>
                <w:lang w:eastAsia="en-US"/>
              </w:rPr>
              <w:t>-0</w:t>
            </w:r>
            <w:r w:rsidRPr="00BD60B6">
              <w:rPr>
                <w:sz w:val="20"/>
                <w:szCs w:val="20"/>
                <w:lang w:eastAsia="en-US"/>
              </w:rPr>
              <w:t>-</w:t>
            </w:r>
          </w:p>
        </w:tc>
        <w:tc>
          <w:tcPr>
            <w:tcW w:w="89"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r>
      <w:tr w:rsidTr="00361A43">
        <w:tblPrEx>
          <w:tblW w:w="5000" w:type="pct"/>
          <w:tblCellMar>
            <w:left w:w="0" w:type="dxa"/>
            <w:right w:w="0" w:type="dxa"/>
          </w:tblCellMar>
          <w:tblLook w:val="04A0"/>
        </w:tblPrEx>
        <w:tc>
          <w:tcPr>
            <w:tcW w:w="3779" w:type="pct"/>
            <w:gridSpan w:val="3"/>
            <w:shd w:val="clear" w:color="auto" w:fill="FFFFFF"/>
            <w:tcMar>
              <w:top w:w="0" w:type="dxa"/>
              <w:left w:w="180" w:type="dxa"/>
              <w:bottom w:w="0" w:type="dxa"/>
              <w:right w:w="0" w:type="dxa"/>
            </w:tcMar>
            <w:vAlign w:val="bottom"/>
            <w:hideMark/>
          </w:tcPr>
          <w:p w:rsidR="005C4BB4" w:rsidRPr="00BD60B6" w:rsidP="005C4BB4">
            <w:pPr>
              <w:ind w:hanging="180"/>
              <w:rPr>
                <w:sz w:val="20"/>
                <w:szCs w:val="20"/>
                <w:lang w:eastAsia="en-US"/>
              </w:rPr>
            </w:pPr>
            <w:r w:rsidRPr="00BD60B6">
              <w:rPr>
                <w:sz w:val="20"/>
                <w:szCs w:val="20"/>
                <w:lang w:eastAsia="en-US"/>
              </w:rPr>
              <w:t>All directors and officers as a group (</w:t>
            </w:r>
            <w:r w:rsidRPr="00BD60B6" w:rsidR="00361A43">
              <w:rPr>
                <w:sz w:val="20"/>
                <w:szCs w:val="20"/>
                <w:lang w:eastAsia="en-US"/>
              </w:rPr>
              <w:t>seven</w:t>
            </w:r>
            <w:r w:rsidRPr="00BD60B6">
              <w:rPr>
                <w:sz w:val="20"/>
                <w:szCs w:val="20"/>
                <w:lang w:eastAsia="en-US"/>
              </w:rPr>
              <w:t xml:space="preserve"> individuals)</w:t>
            </w:r>
          </w:p>
        </w:tc>
        <w:tc>
          <w:tcPr>
            <w:tcW w:w="34"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0"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81" w:type="pct"/>
            <w:shd w:val="clear" w:color="auto" w:fill="FFFFFF"/>
            <w:vAlign w:val="bottom"/>
            <w:hideMark/>
          </w:tcPr>
          <w:p w:rsidR="005C4BB4" w:rsidRPr="00BD60B6" w:rsidP="005C4BB4">
            <w:pPr>
              <w:jc w:val="right"/>
              <w:rPr>
                <w:sz w:val="20"/>
                <w:szCs w:val="20"/>
                <w:lang w:eastAsia="en-US"/>
              </w:rPr>
            </w:pPr>
            <w:r w:rsidRPr="00BD60B6">
              <w:rPr>
                <w:sz w:val="20"/>
                <w:szCs w:val="20"/>
                <w:lang w:eastAsia="en-US"/>
              </w:rPr>
              <w:t>50</w:t>
            </w:r>
            <w:r w:rsidRPr="00BD60B6">
              <w:rPr>
                <w:sz w:val="20"/>
                <w:szCs w:val="20"/>
                <w:lang w:eastAsia="en-US"/>
              </w:rPr>
              <w:t>,000,000</w:t>
            </w:r>
          </w:p>
        </w:tc>
        <w:tc>
          <w:tcPr>
            <w:tcW w:w="82"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0"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39"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17" w:type="pct"/>
            <w:shd w:val="clear" w:color="auto" w:fill="FFFFFF"/>
            <w:vAlign w:val="bottom"/>
            <w:hideMark/>
          </w:tcPr>
          <w:p w:rsidR="005C4BB4" w:rsidRPr="00BD60B6" w:rsidP="005C4BB4">
            <w:pPr>
              <w:jc w:val="right"/>
              <w:rPr>
                <w:sz w:val="20"/>
                <w:szCs w:val="20"/>
                <w:lang w:eastAsia="en-US"/>
              </w:rPr>
            </w:pPr>
            <w:r w:rsidRPr="00BD60B6">
              <w:rPr>
                <w:sz w:val="20"/>
                <w:szCs w:val="20"/>
                <w:lang w:eastAsia="en-US"/>
              </w:rPr>
              <w:t>47.8</w:t>
            </w:r>
          </w:p>
        </w:tc>
        <w:tc>
          <w:tcPr>
            <w:tcW w:w="89" w:type="pct"/>
            <w:shd w:val="clear" w:color="auto" w:fill="FFFFFF"/>
            <w:vAlign w:val="bottom"/>
            <w:hideMark/>
          </w:tcPr>
          <w:p w:rsidR="005C4BB4" w:rsidRPr="00BD60B6" w:rsidP="005C4BB4">
            <w:pPr>
              <w:rPr>
                <w:sz w:val="20"/>
                <w:szCs w:val="20"/>
                <w:lang w:eastAsia="en-US"/>
              </w:rPr>
            </w:pPr>
            <w:r w:rsidRPr="00BD60B6">
              <w:rPr>
                <w:sz w:val="20"/>
                <w:szCs w:val="20"/>
                <w:lang w:eastAsia="en-US"/>
              </w:rPr>
              <w:t>%</w:t>
            </w:r>
          </w:p>
        </w:tc>
      </w:tr>
      <w:tr w:rsidTr="00361A43">
        <w:tblPrEx>
          <w:tblW w:w="5000" w:type="pct"/>
          <w:tblCellMar>
            <w:left w:w="0" w:type="dxa"/>
            <w:right w:w="0" w:type="dxa"/>
          </w:tblCellMar>
          <w:tblLook w:val="04A0"/>
        </w:tblPrEx>
        <w:tc>
          <w:tcPr>
            <w:tcW w:w="3779" w:type="pct"/>
            <w:gridSpan w:val="3"/>
            <w:shd w:val="clear" w:color="auto" w:fill="CCEEFF"/>
            <w:tcMar>
              <w:top w:w="0" w:type="dxa"/>
              <w:left w:w="180" w:type="dxa"/>
              <w:bottom w:w="0" w:type="dxa"/>
              <w:right w:w="0" w:type="dxa"/>
            </w:tcMar>
            <w:vAlign w:val="bottom"/>
            <w:hideMark/>
          </w:tcPr>
          <w:p w:rsidR="005C4BB4" w:rsidRPr="00BD60B6" w:rsidP="005C4BB4">
            <w:pPr>
              <w:ind w:hanging="180"/>
              <w:rPr>
                <w:b/>
                <w:bCs/>
                <w:sz w:val="20"/>
                <w:szCs w:val="20"/>
                <w:lang w:eastAsia="en-US"/>
              </w:rPr>
            </w:pPr>
            <w:r w:rsidRPr="00BD60B6">
              <w:rPr>
                <w:b/>
                <w:bCs/>
                <w:sz w:val="20"/>
                <w:szCs w:val="20"/>
                <w:lang w:eastAsia="en-US"/>
              </w:rPr>
              <w:t>5% shareholders:</w:t>
            </w:r>
          </w:p>
        </w:tc>
        <w:tc>
          <w:tcPr>
            <w:tcW w:w="34"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40"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481" w:type="pct"/>
            <w:shd w:val="clear" w:color="auto" w:fill="CCEEFF"/>
            <w:vAlign w:val="bottom"/>
            <w:hideMark/>
          </w:tcPr>
          <w:p w:rsidR="005C4BB4" w:rsidRPr="00BD60B6" w:rsidP="005C4BB4">
            <w:pPr>
              <w:jc w:val="right"/>
              <w:rPr>
                <w:sz w:val="20"/>
                <w:szCs w:val="20"/>
                <w:lang w:eastAsia="en-US"/>
              </w:rPr>
            </w:pPr>
            <w:r w:rsidRPr="00BD60B6">
              <w:rPr>
                <w:sz w:val="20"/>
                <w:szCs w:val="20"/>
                <w:lang w:eastAsia="en-US"/>
              </w:rPr>
              <w:t> </w:t>
            </w:r>
          </w:p>
        </w:tc>
        <w:tc>
          <w:tcPr>
            <w:tcW w:w="82"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40"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39"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c>
          <w:tcPr>
            <w:tcW w:w="417" w:type="pct"/>
            <w:shd w:val="clear" w:color="auto" w:fill="CCEEFF"/>
            <w:vAlign w:val="bottom"/>
            <w:hideMark/>
          </w:tcPr>
          <w:p w:rsidR="005C4BB4" w:rsidRPr="00BD60B6" w:rsidP="005C4BB4">
            <w:pPr>
              <w:jc w:val="right"/>
              <w:rPr>
                <w:sz w:val="20"/>
                <w:szCs w:val="20"/>
                <w:lang w:eastAsia="en-US"/>
              </w:rPr>
            </w:pPr>
            <w:r w:rsidRPr="00BD60B6">
              <w:rPr>
                <w:sz w:val="20"/>
                <w:szCs w:val="20"/>
                <w:lang w:eastAsia="en-US"/>
              </w:rPr>
              <w:t> </w:t>
            </w:r>
          </w:p>
        </w:tc>
        <w:tc>
          <w:tcPr>
            <w:tcW w:w="89" w:type="pct"/>
            <w:shd w:val="clear" w:color="auto" w:fill="CCEEFF"/>
            <w:vAlign w:val="bottom"/>
            <w:hideMark/>
          </w:tcPr>
          <w:p w:rsidR="005C4BB4" w:rsidRPr="00BD60B6" w:rsidP="005C4BB4">
            <w:pPr>
              <w:rPr>
                <w:sz w:val="20"/>
                <w:szCs w:val="20"/>
                <w:lang w:eastAsia="en-US"/>
              </w:rPr>
            </w:pPr>
            <w:r w:rsidRPr="00BD60B6">
              <w:rPr>
                <w:sz w:val="20"/>
                <w:szCs w:val="20"/>
                <w:lang w:eastAsia="en-US"/>
              </w:rPr>
              <w:t> </w:t>
            </w:r>
          </w:p>
        </w:tc>
      </w:tr>
      <w:tr w:rsidTr="00361A43">
        <w:tblPrEx>
          <w:tblW w:w="5000" w:type="pct"/>
          <w:tblCellMar>
            <w:left w:w="0" w:type="dxa"/>
            <w:right w:w="0" w:type="dxa"/>
          </w:tblCellMar>
          <w:tblLook w:val="04A0"/>
        </w:tblPrEx>
        <w:tc>
          <w:tcPr>
            <w:tcW w:w="3779" w:type="pct"/>
            <w:gridSpan w:val="3"/>
            <w:shd w:val="clear" w:color="auto" w:fill="FFFFFF"/>
            <w:tcMar>
              <w:top w:w="0" w:type="dxa"/>
              <w:left w:w="180" w:type="dxa"/>
              <w:bottom w:w="0" w:type="dxa"/>
              <w:right w:w="0" w:type="dxa"/>
            </w:tcMar>
            <w:vAlign w:val="bottom"/>
            <w:hideMark/>
          </w:tcPr>
          <w:p w:rsidR="005C4BB4" w:rsidRPr="00BD60B6" w:rsidP="005C4BB4">
            <w:pPr>
              <w:ind w:hanging="180"/>
              <w:rPr>
                <w:sz w:val="20"/>
                <w:szCs w:val="20"/>
                <w:lang w:eastAsia="en-US"/>
              </w:rPr>
            </w:pPr>
            <w:r w:rsidRPr="00BD60B6">
              <w:rPr>
                <w:sz w:val="20"/>
                <w:szCs w:val="20"/>
                <w:lang w:eastAsia="en-US"/>
              </w:rPr>
              <w:t>Wise Gain Investment Industries Limited</w:t>
            </w:r>
            <w:r w:rsidRPr="00BD60B6">
              <w:rPr>
                <w:sz w:val="20"/>
                <w:szCs w:val="20"/>
                <w:vertAlign w:val="superscript"/>
                <w:lang w:eastAsia="en-US"/>
              </w:rPr>
              <w:t>(</w:t>
            </w:r>
            <w:r w:rsidRPr="00BD60B6" w:rsidR="001710E0">
              <w:rPr>
                <w:sz w:val="20"/>
                <w:szCs w:val="20"/>
                <w:vertAlign w:val="superscript"/>
                <w:lang w:eastAsia="en-US"/>
              </w:rPr>
              <w:t>5</w:t>
            </w:r>
            <w:r w:rsidRPr="00BD60B6">
              <w:rPr>
                <w:sz w:val="20"/>
                <w:szCs w:val="20"/>
                <w:vertAlign w:val="superscript"/>
                <w:lang w:eastAsia="en-US"/>
              </w:rPr>
              <w:t>)</w:t>
            </w:r>
            <w:r w:rsidRPr="00BD60B6">
              <w:rPr>
                <w:sz w:val="20"/>
                <w:szCs w:val="20"/>
                <w:lang w:eastAsia="en-US"/>
              </w:rPr>
              <w:t xml:space="preserve"> Coastal Building, Wickham’s Cay II P.O. Box 2221, Road Town, Tortola B.V.I.</w:t>
            </w:r>
          </w:p>
        </w:tc>
        <w:tc>
          <w:tcPr>
            <w:tcW w:w="34"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0"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81" w:type="pct"/>
            <w:shd w:val="clear" w:color="auto" w:fill="FFFFFF"/>
            <w:vAlign w:val="bottom"/>
            <w:hideMark/>
          </w:tcPr>
          <w:p w:rsidR="005C4BB4" w:rsidRPr="00BD60B6" w:rsidP="005C4BB4">
            <w:pPr>
              <w:jc w:val="right"/>
              <w:rPr>
                <w:sz w:val="20"/>
                <w:szCs w:val="20"/>
                <w:lang w:eastAsia="en-US"/>
              </w:rPr>
            </w:pPr>
            <w:r w:rsidRPr="00BD60B6">
              <w:rPr>
                <w:sz w:val="20"/>
                <w:szCs w:val="20"/>
                <w:lang w:eastAsia="en-US"/>
              </w:rPr>
              <w:t>6,276,700</w:t>
            </w:r>
          </w:p>
        </w:tc>
        <w:tc>
          <w:tcPr>
            <w:tcW w:w="82"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0"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39" w:type="pct"/>
            <w:shd w:val="clear" w:color="auto" w:fill="FFFFFF"/>
            <w:vAlign w:val="bottom"/>
            <w:hideMark/>
          </w:tcPr>
          <w:p w:rsidR="005C4BB4" w:rsidRPr="00BD60B6" w:rsidP="005C4BB4">
            <w:pPr>
              <w:rPr>
                <w:sz w:val="20"/>
                <w:szCs w:val="20"/>
                <w:lang w:eastAsia="en-US"/>
              </w:rPr>
            </w:pPr>
            <w:r w:rsidRPr="00BD60B6">
              <w:rPr>
                <w:sz w:val="20"/>
                <w:szCs w:val="20"/>
                <w:lang w:eastAsia="en-US"/>
              </w:rPr>
              <w:t> </w:t>
            </w:r>
          </w:p>
        </w:tc>
        <w:tc>
          <w:tcPr>
            <w:tcW w:w="417" w:type="pct"/>
            <w:shd w:val="clear" w:color="auto" w:fill="FFFFFF"/>
            <w:vAlign w:val="bottom"/>
            <w:hideMark/>
          </w:tcPr>
          <w:p w:rsidR="005C4BB4" w:rsidRPr="00BD60B6" w:rsidP="005C4BB4">
            <w:pPr>
              <w:jc w:val="right"/>
              <w:rPr>
                <w:sz w:val="20"/>
                <w:szCs w:val="20"/>
                <w:lang w:eastAsia="en-US"/>
              </w:rPr>
            </w:pPr>
            <w:r w:rsidRPr="00BD60B6">
              <w:rPr>
                <w:sz w:val="20"/>
                <w:szCs w:val="20"/>
                <w:lang w:eastAsia="en-US"/>
              </w:rPr>
              <w:t>11.6</w:t>
            </w:r>
          </w:p>
        </w:tc>
        <w:tc>
          <w:tcPr>
            <w:tcW w:w="89" w:type="pct"/>
            <w:shd w:val="clear" w:color="auto" w:fill="FFFFFF"/>
            <w:vAlign w:val="bottom"/>
            <w:hideMark/>
          </w:tcPr>
          <w:p w:rsidR="005C4BB4" w:rsidRPr="00BD60B6" w:rsidP="005C4BB4">
            <w:pPr>
              <w:rPr>
                <w:sz w:val="20"/>
                <w:szCs w:val="20"/>
                <w:lang w:eastAsia="en-US"/>
              </w:rPr>
            </w:pPr>
            <w:r w:rsidRPr="00BD60B6">
              <w:rPr>
                <w:sz w:val="20"/>
                <w:szCs w:val="20"/>
                <w:lang w:eastAsia="en-US"/>
              </w:rPr>
              <w:t>%</w:t>
            </w:r>
          </w:p>
        </w:tc>
      </w:tr>
      <w:tr w:rsidTr="00361A43">
        <w:tblPrEx>
          <w:tblW w:w="5000" w:type="pct"/>
          <w:tblCellSpacing w:w="0" w:type="dxa"/>
          <w:tblCellMar>
            <w:left w:w="0" w:type="dxa"/>
            <w:right w:w="0" w:type="dxa"/>
          </w:tblCellMar>
          <w:tblLook w:val="04A0"/>
        </w:tblPrEx>
        <w:trPr>
          <w:tblCellSpacing w:w="0" w:type="dxa"/>
        </w:trPr>
        <w:tc>
          <w:tcPr>
            <w:tcW w:w="29" w:type="pct"/>
            <w:hideMark/>
          </w:tcPr>
          <w:p w:rsidR="005C4BB4" w:rsidP="005C4BB4">
            <w:pPr>
              <w:rPr>
                <w:sz w:val="20"/>
                <w:szCs w:val="20"/>
              </w:rPr>
            </w:pPr>
            <w:r w:rsidRPr="00E0356D">
              <w:rPr>
                <w:sz w:val="20"/>
                <w:szCs w:val="20"/>
              </w:rPr>
              <w:t> </w:t>
            </w:r>
          </w:p>
          <w:p w:rsidR="005C4BB4" w:rsidRPr="00237674" w:rsidP="005C4BB4">
            <w:pPr>
              <w:rPr>
                <w:sz w:val="20"/>
                <w:szCs w:val="20"/>
                <w:lang w:eastAsia="en-US"/>
              </w:rPr>
            </w:pPr>
            <w:r w:rsidRPr="00237674">
              <w:rPr>
                <w:sz w:val="20"/>
                <w:szCs w:val="20"/>
                <w:lang w:eastAsia="en-US"/>
              </w:rPr>
              <w:t> </w:t>
            </w:r>
          </w:p>
        </w:tc>
        <w:tc>
          <w:tcPr>
            <w:tcW w:w="185" w:type="pct"/>
            <w:hideMark/>
          </w:tcPr>
          <w:p w:rsidR="005C4BB4" w:rsidRPr="00237674" w:rsidP="005C4BB4">
            <w:pPr>
              <w:spacing w:before="240"/>
              <w:rPr>
                <w:sz w:val="20"/>
                <w:szCs w:val="20"/>
                <w:lang w:eastAsia="en-US"/>
              </w:rPr>
            </w:pPr>
            <w:r w:rsidRPr="00237674">
              <w:rPr>
                <w:sz w:val="20"/>
                <w:szCs w:val="20"/>
                <w:lang w:eastAsia="en-US"/>
              </w:rPr>
              <w:t>*</w:t>
            </w:r>
          </w:p>
        </w:tc>
        <w:tc>
          <w:tcPr>
            <w:tcW w:w="4786" w:type="pct"/>
            <w:gridSpan w:val="9"/>
            <w:hideMark/>
          </w:tcPr>
          <w:p w:rsidR="005C4BB4" w:rsidRPr="00237674" w:rsidP="005C4BB4">
            <w:pPr>
              <w:spacing w:before="240"/>
              <w:jc w:val="both"/>
              <w:rPr>
                <w:sz w:val="20"/>
                <w:szCs w:val="20"/>
                <w:lang w:eastAsia="en-US"/>
              </w:rPr>
            </w:pPr>
            <w:r w:rsidRPr="00237674">
              <w:rPr>
                <w:sz w:val="20"/>
                <w:szCs w:val="20"/>
                <w:lang w:eastAsia="en-US"/>
              </w:rPr>
              <w:t>Less than 1% of issued and outstanding shares.</w:t>
            </w:r>
          </w:p>
        </w:tc>
      </w:tr>
    </w:tbl>
    <w:p w:rsidR="005C4BB4" w:rsidP="005C4BB4">
      <w:pPr>
        <w:rPr>
          <w:sz w:val="20"/>
          <w:szCs w:val="20"/>
        </w:rPr>
      </w:pPr>
    </w:p>
    <w:tbl>
      <w:tblPr>
        <w:tblW w:w="5000" w:type="pct"/>
        <w:tblCellSpacing w:w="0" w:type="dxa"/>
        <w:tblCellMar>
          <w:left w:w="0" w:type="dxa"/>
          <w:right w:w="0" w:type="dxa"/>
        </w:tblCellMar>
        <w:tblLook w:val="04A0"/>
      </w:tblPr>
      <w:tblGrid>
        <w:gridCol w:w="360"/>
        <w:gridCol w:w="9000"/>
      </w:tblGrid>
      <w:tr w:rsidTr="005C4BB4">
        <w:tblPrEx>
          <w:tblW w:w="5000" w:type="pct"/>
          <w:tblCellSpacing w:w="0" w:type="dxa"/>
          <w:tblCellMar>
            <w:left w:w="0" w:type="dxa"/>
            <w:right w:w="0" w:type="dxa"/>
          </w:tblCellMar>
          <w:tblLook w:val="04A0"/>
        </w:tblPrEx>
        <w:trPr>
          <w:tblCellSpacing w:w="0" w:type="dxa"/>
        </w:trPr>
        <w:tc>
          <w:tcPr>
            <w:tcW w:w="360" w:type="dxa"/>
            <w:hideMark/>
          </w:tcPr>
          <w:p w:rsidR="005C4BB4" w:rsidRPr="00237674" w:rsidP="005C4BB4">
            <w:pPr>
              <w:jc w:val="both"/>
              <w:rPr>
                <w:sz w:val="20"/>
                <w:szCs w:val="20"/>
                <w:lang w:eastAsia="en-US"/>
              </w:rPr>
            </w:pPr>
            <w:r w:rsidRPr="00237674">
              <w:rPr>
                <w:sz w:val="20"/>
                <w:szCs w:val="20"/>
                <w:vertAlign w:val="superscript"/>
                <w:lang w:eastAsia="en-US"/>
              </w:rPr>
              <w:t>(1)</w:t>
            </w:r>
          </w:p>
        </w:tc>
        <w:tc>
          <w:tcPr>
            <w:tcW w:w="0" w:type="auto"/>
            <w:hideMark/>
          </w:tcPr>
          <w:p w:rsidR="005C4BB4" w:rsidRPr="00237674" w:rsidP="000D53DE">
            <w:pPr>
              <w:spacing w:after="120"/>
              <w:jc w:val="both"/>
              <w:rPr>
                <w:sz w:val="20"/>
                <w:szCs w:val="20"/>
                <w:lang w:eastAsia="en-US"/>
              </w:rPr>
            </w:pPr>
            <w:r w:rsidRPr="00237674">
              <w:rPr>
                <w:sz w:val="20"/>
                <w:szCs w:val="20"/>
                <w:lang w:eastAsia="en-US"/>
              </w:rPr>
              <w:t xml:space="preserve">Unless otherwise noted, the business address of each of the following entities or individuals is c/o Bit Digital, Inc., </w:t>
            </w:r>
            <w:r w:rsidR="001710E0">
              <w:rPr>
                <w:sz w:val="20"/>
                <w:szCs w:val="20"/>
                <w:lang w:eastAsia="en-US"/>
              </w:rPr>
              <w:t>33 Irving Place, New York, New York 10003</w:t>
            </w:r>
            <w:r w:rsidRPr="00237674">
              <w:rPr>
                <w:sz w:val="20"/>
                <w:szCs w:val="20"/>
                <w:lang w:eastAsia="en-US"/>
              </w:rPr>
              <w:t>.</w:t>
            </w:r>
          </w:p>
        </w:tc>
      </w:tr>
      <w:tr w:rsidTr="005C4BB4">
        <w:tblPrEx>
          <w:tblW w:w="5000" w:type="pct"/>
          <w:tblCellSpacing w:w="0" w:type="dxa"/>
          <w:tblCellMar>
            <w:left w:w="0" w:type="dxa"/>
            <w:right w:w="0" w:type="dxa"/>
          </w:tblCellMar>
          <w:tblLook w:val="04A0"/>
        </w:tblPrEx>
        <w:trPr>
          <w:tblCellSpacing w:w="0" w:type="dxa"/>
        </w:trPr>
        <w:tc>
          <w:tcPr>
            <w:tcW w:w="0" w:type="auto"/>
            <w:hideMark/>
          </w:tcPr>
          <w:p w:rsidR="005C4BB4" w:rsidRPr="00237674" w:rsidP="005C4BB4">
            <w:pPr>
              <w:jc w:val="both"/>
              <w:rPr>
                <w:sz w:val="20"/>
                <w:szCs w:val="20"/>
                <w:lang w:eastAsia="en-US"/>
              </w:rPr>
            </w:pPr>
            <w:r w:rsidRPr="00237674">
              <w:rPr>
                <w:sz w:val="20"/>
                <w:szCs w:val="20"/>
                <w:vertAlign w:val="superscript"/>
                <w:lang w:eastAsia="en-US"/>
              </w:rPr>
              <w:t>(2)</w:t>
            </w:r>
          </w:p>
        </w:tc>
        <w:tc>
          <w:tcPr>
            <w:tcW w:w="0" w:type="auto"/>
            <w:hideMark/>
          </w:tcPr>
          <w:p w:rsidR="005C4BB4" w:rsidRPr="00237674" w:rsidP="000D53DE">
            <w:pPr>
              <w:spacing w:after="120"/>
              <w:jc w:val="both"/>
              <w:rPr>
                <w:sz w:val="20"/>
                <w:szCs w:val="20"/>
                <w:lang w:eastAsia="en-US"/>
              </w:rPr>
            </w:pPr>
            <w:r w:rsidRPr="00237674">
              <w:rPr>
                <w:sz w:val="20"/>
                <w:szCs w:val="20"/>
                <w:lang w:eastAsia="en-US"/>
              </w:rPr>
              <w:t xml:space="preserve">Applicable percentage of </w:t>
            </w:r>
            <w:r w:rsidR="001710E0">
              <w:rPr>
                <w:sz w:val="20"/>
                <w:szCs w:val="20"/>
                <w:lang w:eastAsia="en-US"/>
              </w:rPr>
              <w:t>Voting Securities owned</w:t>
            </w:r>
            <w:r w:rsidRPr="00237674">
              <w:rPr>
                <w:sz w:val="20"/>
                <w:szCs w:val="20"/>
                <w:lang w:eastAsia="en-US"/>
              </w:rPr>
              <w:t xml:space="preserve"> prior to the offering is based on </w:t>
            </w:r>
            <w:r w:rsidR="00BD60B6">
              <w:rPr>
                <w:sz w:val="20"/>
                <w:szCs w:val="20"/>
                <w:lang w:eastAsia="en-US"/>
              </w:rPr>
              <w:t>54,</w:t>
            </w:r>
            <w:r w:rsidR="00F71DAB">
              <w:rPr>
                <w:sz w:val="20"/>
                <w:szCs w:val="20"/>
                <w:lang w:eastAsia="en-US"/>
              </w:rPr>
              <w:t>990,764</w:t>
            </w:r>
            <w:r w:rsidRPr="00237674">
              <w:rPr>
                <w:sz w:val="20"/>
                <w:szCs w:val="20"/>
                <w:lang w:eastAsia="en-US"/>
              </w:rPr>
              <w:t xml:space="preserve"> Ordinary Shares outstanding as of </w:t>
            </w:r>
            <w:r w:rsidR="001710E0">
              <w:rPr>
                <w:sz w:val="20"/>
                <w:szCs w:val="20"/>
                <w:lang w:eastAsia="en-US"/>
              </w:rPr>
              <w:t xml:space="preserve">August </w:t>
            </w:r>
            <w:r w:rsidR="00F71DAB">
              <w:rPr>
                <w:sz w:val="20"/>
                <w:szCs w:val="20"/>
                <w:lang w:eastAsia="en-US"/>
              </w:rPr>
              <w:t>9</w:t>
            </w:r>
            <w:r w:rsidRPr="00237674">
              <w:rPr>
                <w:sz w:val="20"/>
                <w:szCs w:val="20"/>
                <w:lang w:eastAsia="en-US"/>
              </w:rPr>
              <w:t>, 2021, together with securities exercisable or convertible into Ordinary Shares within sixty (60) days as of such date for each shareholder</w:t>
            </w:r>
            <w:r w:rsidR="005723DB">
              <w:rPr>
                <w:sz w:val="20"/>
                <w:szCs w:val="20"/>
                <w:lang w:eastAsia="en-US"/>
              </w:rPr>
              <w:t xml:space="preserve">, and 50,000,000 votes held by the holders of Preferred Shares or an aggregate of </w:t>
            </w:r>
            <w:r w:rsidR="00F71DAB">
              <w:rPr>
                <w:sz w:val="20"/>
                <w:szCs w:val="20"/>
                <w:lang w:eastAsia="en-US"/>
              </w:rPr>
              <w:t>104,9</w:t>
            </w:r>
            <w:r w:rsidR="00485279">
              <w:rPr>
                <w:sz w:val="20"/>
                <w:szCs w:val="20"/>
                <w:lang w:eastAsia="en-US"/>
              </w:rPr>
              <w:t>9</w:t>
            </w:r>
            <w:r w:rsidR="00F71DAB">
              <w:rPr>
                <w:sz w:val="20"/>
                <w:szCs w:val="20"/>
                <w:lang w:eastAsia="en-US"/>
              </w:rPr>
              <w:t>0,764</w:t>
            </w:r>
            <w:r w:rsidR="005723DB">
              <w:rPr>
                <w:sz w:val="20"/>
                <w:szCs w:val="20"/>
                <w:lang w:eastAsia="en-US"/>
              </w:rPr>
              <w:t xml:space="preserve"> Voting Shares</w:t>
            </w:r>
            <w:r w:rsidRPr="00237674">
              <w:rPr>
                <w:sz w:val="20"/>
                <w:szCs w:val="20"/>
                <w:lang w:eastAsia="en-US"/>
              </w:rPr>
              <w:t xml:space="preserve">. </w:t>
            </w:r>
          </w:p>
        </w:tc>
      </w:tr>
      <w:tr w:rsidTr="005C4BB4">
        <w:tblPrEx>
          <w:tblW w:w="5000" w:type="pct"/>
          <w:tblCellSpacing w:w="0" w:type="dxa"/>
          <w:tblCellMar>
            <w:left w:w="0" w:type="dxa"/>
            <w:right w:w="0" w:type="dxa"/>
          </w:tblCellMar>
          <w:tblLook w:val="04A0"/>
        </w:tblPrEx>
        <w:trPr>
          <w:tblCellSpacing w:w="0" w:type="dxa"/>
        </w:trPr>
        <w:tc>
          <w:tcPr>
            <w:tcW w:w="0" w:type="auto"/>
            <w:hideMark/>
          </w:tcPr>
          <w:p w:rsidR="005C4BB4" w:rsidRPr="00237674" w:rsidP="005C4BB4">
            <w:pPr>
              <w:jc w:val="both"/>
              <w:rPr>
                <w:sz w:val="20"/>
                <w:szCs w:val="20"/>
                <w:lang w:eastAsia="en-US"/>
              </w:rPr>
            </w:pPr>
            <w:r w:rsidRPr="00237674">
              <w:rPr>
                <w:sz w:val="20"/>
                <w:szCs w:val="20"/>
                <w:vertAlign w:val="superscript"/>
                <w:lang w:eastAsia="en-US"/>
              </w:rPr>
              <w:t>(3)</w:t>
            </w:r>
          </w:p>
        </w:tc>
        <w:tc>
          <w:tcPr>
            <w:tcW w:w="0" w:type="auto"/>
            <w:hideMark/>
          </w:tcPr>
          <w:p w:rsidR="005C4BB4" w:rsidRPr="00237674" w:rsidP="000D53DE">
            <w:pPr>
              <w:spacing w:after="120"/>
              <w:jc w:val="both"/>
              <w:rPr>
                <w:sz w:val="20"/>
                <w:szCs w:val="20"/>
                <w:lang w:eastAsia="en-US"/>
              </w:rPr>
            </w:pPr>
            <w:r w:rsidRPr="00237674">
              <w:rPr>
                <w:sz w:val="20"/>
                <w:szCs w:val="20"/>
                <w:lang w:eastAsia="en-US"/>
              </w:rPr>
              <w:t xml:space="preserve">Erke Huang and Zhaohui Deng are the beneficial owners of 300,000 </w:t>
            </w:r>
            <w:r w:rsidR="00083858">
              <w:rPr>
                <w:sz w:val="20"/>
                <w:szCs w:val="20"/>
                <w:lang w:eastAsia="en-US"/>
              </w:rPr>
              <w:t xml:space="preserve">and 700,000 </w:t>
            </w:r>
            <w:r w:rsidRPr="00237674">
              <w:rPr>
                <w:sz w:val="20"/>
                <w:szCs w:val="20"/>
                <w:lang w:eastAsia="en-US"/>
              </w:rPr>
              <w:t xml:space="preserve">shares, respectively, of the 1,000,000 </w:t>
            </w:r>
            <w:r w:rsidR="001710E0">
              <w:rPr>
                <w:sz w:val="20"/>
                <w:szCs w:val="20"/>
                <w:lang w:eastAsia="en-US"/>
              </w:rPr>
              <w:t>Preferred</w:t>
            </w:r>
            <w:r w:rsidRPr="00237674">
              <w:rPr>
                <w:sz w:val="20"/>
                <w:szCs w:val="20"/>
                <w:lang w:eastAsia="en-US"/>
              </w:rPr>
              <w:t xml:space="preserve"> </w:t>
            </w:r>
            <w:r w:rsidR="001710E0">
              <w:rPr>
                <w:sz w:val="20"/>
                <w:szCs w:val="20"/>
                <w:lang w:eastAsia="en-US"/>
              </w:rPr>
              <w:t>S</w:t>
            </w:r>
            <w:r w:rsidRPr="00237674">
              <w:rPr>
                <w:sz w:val="20"/>
                <w:szCs w:val="20"/>
                <w:lang w:eastAsia="en-US"/>
              </w:rPr>
              <w:t>hares owned by Geney Development Limited, a BVI entity, with an address at 4</w:t>
            </w:r>
            <w:r w:rsidRPr="00237674">
              <w:rPr>
                <w:sz w:val="20"/>
                <w:szCs w:val="20"/>
                <w:vertAlign w:val="superscript"/>
                <w:lang w:eastAsia="en-US"/>
              </w:rPr>
              <w:t>th</w:t>
            </w:r>
            <w:r w:rsidRPr="00237674">
              <w:rPr>
                <w:sz w:val="20"/>
                <w:szCs w:val="20"/>
                <w:lang w:eastAsia="en-US"/>
              </w:rPr>
              <w:t xml:space="preserve"> Floor Waters Edge Building, Meridian Plaza, Road Town, Tortola VG1110, British Virgin Islands.</w:t>
            </w:r>
            <w:r w:rsidR="001710E0">
              <w:rPr>
                <w:sz w:val="20"/>
                <w:szCs w:val="20"/>
                <w:lang w:eastAsia="en-US"/>
              </w:rPr>
              <w:t xml:space="preserve">  Each Preferred Share is entitled to the equivalent number of fifty (50) Ordinary Shares, or an aggregate of 50,000,000 votes for the 1,000,000 Preferred Shares</w:t>
            </w:r>
            <w:r w:rsidR="00BD60B6">
              <w:rPr>
                <w:sz w:val="20"/>
                <w:szCs w:val="20"/>
                <w:lang w:eastAsia="en-US"/>
              </w:rPr>
              <w:t>, or 47.8% of the Voting Securities</w:t>
            </w:r>
            <w:r w:rsidR="001710E0">
              <w:rPr>
                <w:sz w:val="20"/>
                <w:szCs w:val="20"/>
                <w:lang w:eastAsia="en-US"/>
              </w:rPr>
              <w:t>.</w:t>
            </w:r>
          </w:p>
        </w:tc>
      </w:tr>
      <w:tr w:rsidTr="005C4BB4">
        <w:tblPrEx>
          <w:tblW w:w="5000" w:type="pct"/>
          <w:tblCellSpacing w:w="0" w:type="dxa"/>
          <w:tblCellMar>
            <w:left w:w="0" w:type="dxa"/>
            <w:right w:w="0" w:type="dxa"/>
          </w:tblCellMar>
          <w:tblLook w:val="04A0"/>
        </w:tblPrEx>
        <w:trPr>
          <w:tblCellSpacing w:w="0" w:type="dxa"/>
        </w:trPr>
        <w:tc>
          <w:tcPr>
            <w:tcW w:w="0" w:type="auto"/>
          </w:tcPr>
          <w:p w:rsidR="001710E0" w:rsidRPr="00237674" w:rsidP="005C4BB4">
            <w:pPr>
              <w:jc w:val="both"/>
              <w:rPr>
                <w:sz w:val="20"/>
                <w:szCs w:val="20"/>
                <w:vertAlign w:val="superscript"/>
                <w:lang w:eastAsia="en-US"/>
              </w:rPr>
            </w:pPr>
            <w:r>
              <w:rPr>
                <w:sz w:val="20"/>
                <w:szCs w:val="20"/>
                <w:vertAlign w:val="superscript"/>
                <w:lang w:eastAsia="en-US"/>
              </w:rPr>
              <w:t>(4)</w:t>
            </w:r>
          </w:p>
        </w:tc>
        <w:tc>
          <w:tcPr>
            <w:tcW w:w="0" w:type="auto"/>
          </w:tcPr>
          <w:p w:rsidR="001710E0" w:rsidRPr="00237674" w:rsidP="000D53DE">
            <w:pPr>
              <w:spacing w:after="120"/>
              <w:jc w:val="both"/>
              <w:rPr>
                <w:sz w:val="20"/>
                <w:szCs w:val="20"/>
                <w:lang w:eastAsia="en-US"/>
              </w:rPr>
            </w:pPr>
            <w:r>
              <w:rPr>
                <w:sz w:val="20"/>
                <w:szCs w:val="20"/>
                <w:lang w:eastAsia="en-US"/>
              </w:rPr>
              <w:t xml:space="preserve">Represents </w:t>
            </w:r>
            <w:bookmarkStart w:id="2" w:name="_GoBack"/>
            <w:r w:rsidR="00F71DAB">
              <w:rPr>
                <w:sz w:val="20"/>
                <w:szCs w:val="20"/>
                <w:lang w:eastAsia="en-US"/>
              </w:rPr>
              <w:t>13</w:t>
            </w:r>
            <w:bookmarkEnd w:id="2"/>
            <w:r w:rsidR="00F71DAB">
              <w:rPr>
                <w:sz w:val="20"/>
                <w:szCs w:val="20"/>
                <w:lang w:eastAsia="en-US"/>
              </w:rPr>
              <w:t xml:space="preserve">0,765 </w:t>
            </w:r>
            <w:r>
              <w:rPr>
                <w:sz w:val="20"/>
                <w:szCs w:val="20"/>
                <w:lang w:eastAsia="en-US"/>
              </w:rPr>
              <w:t>Restricted Stock Units that vest in twenty-four (24) equal monthly installments commencing on February 1, 2021 and are e</w:t>
            </w:r>
            <w:r w:rsidR="00083858">
              <w:rPr>
                <w:sz w:val="20"/>
                <w:szCs w:val="20"/>
                <w:lang w:eastAsia="en-US"/>
              </w:rPr>
              <w:t>xchangea</w:t>
            </w:r>
            <w:r>
              <w:rPr>
                <w:sz w:val="20"/>
                <w:szCs w:val="20"/>
                <w:lang w:eastAsia="en-US"/>
              </w:rPr>
              <w:t>ble for Ordinary Shares on a one-for-one basis.</w:t>
            </w:r>
            <w:r w:rsidR="00F71DAB">
              <w:rPr>
                <w:sz w:val="20"/>
                <w:szCs w:val="20"/>
                <w:lang w:eastAsia="en-US"/>
              </w:rPr>
              <w:t xml:space="preserve">  The remaining 40,000 Restricted Stock Units are fully vested.</w:t>
            </w:r>
          </w:p>
        </w:tc>
      </w:tr>
      <w:tr w:rsidTr="005C4BB4">
        <w:tblPrEx>
          <w:tblW w:w="5000" w:type="pct"/>
          <w:tblCellSpacing w:w="0" w:type="dxa"/>
          <w:tblCellMar>
            <w:left w:w="0" w:type="dxa"/>
            <w:right w:w="0" w:type="dxa"/>
          </w:tblCellMar>
          <w:tblLook w:val="04A0"/>
        </w:tblPrEx>
        <w:trPr>
          <w:tblCellSpacing w:w="0" w:type="dxa"/>
        </w:trPr>
        <w:tc>
          <w:tcPr>
            <w:tcW w:w="0" w:type="auto"/>
            <w:hideMark/>
          </w:tcPr>
          <w:p w:rsidR="005C4BB4" w:rsidRPr="00237674" w:rsidP="005C4BB4">
            <w:pPr>
              <w:jc w:val="both"/>
              <w:rPr>
                <w:sz w:val="20"/>
                <w:szCs w:val="20"/>
                <w:lang w:eastAsia="en-US"/>
              </w:rPr>
            </w:pPr>
            <w:r w:rsidRPr="00237674">
              <w:rPr>
                <w:sz w:val="20"/>
                <w:szCs w:val="20"/>
                <w:vertAlign w:val="superscript"/>
                <w:lang w:eastAsia="en-US"/>
              </w:rPr>
              <w:t>(</w:t>
            </w:r>
            <w:r w:rsidR="005723DB">
              <w:rPr>
                <w:sz w:val="20"/>
                <w:szCs w:val="20"/>
                <w:vertAlign w:val="superscript"/>
                <w:lang w:eastAsia="en-US"/>
              </w:rPr>
              <w:t>5</w:t>
            </w:r>
            <w:r w:rsidRPr="00237674">
              <w:rPr>
                <w:sz w:val="20"/>
                <w:szCs w:val="20"/>
                <w:vertAlign w:val="superscript"/>
                <w:lang w:eastAsia="en-US"/>
              </w:rPr>
              <w:t>)</w:t>
            </w:r>
          </w:p>
        </w:tc>
        <w:tc>
          <w:tcPr>
            <w:tcW w:w="0" w:type="auto"/>
            <w:hideMark/>
          </w:tcPr>
          <w:p w:rsidR="005C4BB4" w:rsidRPr="00237674" w:rsidP="005C4BB4">
            <w:pPr>
              <w:jc w:val="both"/>
              <w:rPr>
                <w:sz w:val="20"/>
                <w:szCs w:val="20"/>
                <w:lang w:eastAsia="en-US"/>
              </w:rPr>
            </w:pPr>
            <w:r>
              <w:rPr>
                <w:sz w:val="20"/>
                <w:szCs w:val="20"/>
                <w:lang w:eastAsia="en-US"/>
              </w:rPr>
              <w:t xml:space="preserve">The Schedule 13G filed on June 22, 2021 for </w:t>
            </w:r>
            <w:r w:rsidRPr="00237674">
              <w:rPr>
                <w:sz w:val="20"/>
                <w:szCs w:val="20"/>
                <w:lang w:eastAsia="en-US"/>
              </w:rPr>
              <w:t xml:space="preserve">Wise Gain Investment Industries Limited </w:t>
            </w:r>
            <w:r>
              <w:rPr>
                <w:sz w:val="20"/>
                <w:szCs w:val="20"/>
                <w:lang w:eastAsia="en-US"/>
              </w:rPr>
              <w:t>stated that Kenneth Vin Zorro has sole</w:t>
            </w:r>
            <w:r w:rsidRPr="00237674">
              <w:rPr>
                <w:sz w:val="20"/>
                <w:szCs w:val="20"/>
                <w:lang w:eastAsia="en-US"/>
              </w:rPr>
              <w:t xml:space="preserve"> voting and dispositive power over the shares held by such entity.</w:t>
            </w:r>
          </w:p>
        </w:tc>
      </w:tr>
    </w:tbl>
    <w:p w:rsidR="005C4BB4" w:rsidRPr="00E0356D" w:rsidP="005C4BB4">
      <w:pPr>
        <w:rPr>
          <w:sz w:val="20"/>
          <w:szCs w:val="20"/>
        </w:rPr>
      </w:pPr>
    </w:p>
    <w:p w:rsidR="005C4BB4" w:rsidRPr="00E0356D" w:rsidP="005C4BB4">
      <w:pPr>
        <w:jc w:val="both"/>
        <w:rPr>
          <w:sz w:val="20"/>
          <w:szCs w:val="20"/>
        </w:rPr>
      </w:pPr>
    </w:p>
    <w:p w:rsidR="00B64393" w:rsidP="00B64393">
      <w:pPr>
        <w:jc w:val="center"/>
        <w:rPr>
          <w:b/>
          <w:bCs/>
          <w:sz w:val="20"/>
          <w:szCs w:val="20"/>
        </w:rPr>
      </w:pPr>
      <w:r>
        <w:rPr>
          <w:b/>
          <w:bCs/>
          <w:sz w:val="20"/>
          <w:szCs w:val="20"/>
        </w:rPr>
        <w:t>PROPOSAL 1</w:t>
      </w:r>
    </w:p>
    <w:p w:rsidR="00B64393" w:rsidRPr="00E0356D" w:rsidP="00B64393">
      <w:pPr>
        <w:jc w:val="center"/>
        <w:rPr>
          <w:sz w:val="20"/>
          <w:szCs w:val="20"/>
        </w:rPr>
      </w:pPr>
    </w:p>
    <w:p w:rsidR="00B64393" w:rsidP="00B64393">
      <w:pPr>
        <w:jc w:val="center"/>
        <w:rPr>
          <w:b/>
          <w:bCs/>
          <w:sz w:val="20"/>
          <w:szCs w:val="20"/>
        </w:rPr>
      </w:pPr>
      <w:r>
        <w:rPr>
          <w:b/>
          <w:bCs/>
          <w:sz w:val="20"/>
          <w:szCs w:val="20"/>
        </w:rPr>
        <w:t>APPROVAL OF PROPOSED AMENDMENT TO</w:t>
      </w:r>
      <w:r>
        <w:rPr>
          <w:b/>
          <w:bCs/>
          <w:sz w:val="20"/>
          <w:szCs w:val="20"/>
        </w:rPr>
        <w:br/>
        <w:t>COMPANY'S AUTHORIZED SHARE CAPITAL</w:t>
      </w:r>
    </w:p>
    <w:p w:rsidR="00B64393" w:rsidP="00B64393">
      <w:pPr>
        <w:jc w:val="center"/>
        <w:rPr>
          <w:b/>
          <w:bCs/>
          <w:sz w:val="20"/>
          <w:szCs w:val="20"/>
        </w:rPr>
      </w:pPr>
    </w:p>
    <w:p w:rsidR="00B64393" w:rsidP="00B64393">
      <w:pPr>
        <w:ind w:firstLine="360"/>
        <w:jc w:val="both"/>
        <w:rPr>
          <w:sz w:val="20"/>
          <w:szCs w:val="20"/>
        </w:rPr>
      </w:pPr>
      <w:r>
        <w:rPr>
          <w:sz w:val="20"/>
          <w:szCs w:val="20"/>
        </w:rPr>
        <w:t>The current authorized share capital of the Company is US$1,500,000 divided into 150,000,000 shares of US$0.01 each. The authorized share capital consists of 140,000,000 Ordinary Shares</w:t>
      </w:r>
      <w:r w:rsidR="00FD2B06">
        <w:rPr>
          <w:sz w:val="20"/>
          <w:szCs w:val="20"/>
        </w:rPr>
        <w:t>, par value $0.01 per share, and 10,000,000 Preferred Shares, par value $0.01 per share.  If this proposal is approved</w:t>
      </w:r>
      <w:r>
        <w:rPr>
          <w:sz w:val="20"/>
          <w:szCs w:val="20"/>
        </w:rPr>
        <w:t>, the authorized share capital of the Company will be amended to US$</w:t>
      </w:r>
      <w:r w:rsidR="00FD2B06">
        <w:rPr>
          <w:sz w:val="20"/>
          <w:szCs w:val="20"/>
        </w:rPr>
        <w:t>3</w:t>
      </w:r>
      <w:r>
        <w:rPr>
          <w:sz w:val="20"/>
          <w:szCs w:val="20"/>
        </w:rPr>
        <w:t xml:space="preserve">,500,000 divided into </w:t>
      </w:r>
      <w:r w:rsidR="00FD2B06">
        <w:rPr>
          <w:sz w:val="20"/>
          <w:szCs w:val="20"/>
        </w:rPr>
        <w:t>3</w:t>
      </w:r>
      <w:r>
        <w:rPr>
          <w:sz w:val="20"/>
          <w:szCs w:val="20"/>
        </w:rPr>
        <w:t>40,000,000 Ordinary Shares of US$0.01 each and 10,000,000 Preference Shares of US$0.01 each.</w:t>
      </w:r>
    </w:p>
    <w:p w:rsidR="00B64393" w:rsidRPr="00E0356D" w:rsidP="00B64393">
      <w:pPr>
        <w:jc w:val="both"/>
        <w:rPr>
          <w:sz w:val="20"/>
          <w:szCs w:val="20"/>
        </w:rPr>
      </w:pPr>
    </w:p>
    <w:p w:rsidR="00B64393" w:rsidRPr="00E0356D" w:rsidP="00B64393">
      <w:pPr>
        <w:jc w:val="both"/>
        <w:rPr>
          <w:sz w:val="20"/>
          <w:szCs w:val="20"/>
        </w:rPr>
      </w:pPr>
      <w:r w:rsidRPr="00E0356D">
        <w:rPr>
          <w:b/>
          <w:bCs/>
          <w:sz w:val="20"/>
          <w:szCs w:val="20"/>
        </w:rPr>
        <w:t>Vote Required and Board Recommendation</w:t>
      </w:r>
    </w:p>
    <w:p w:rsidR="00B64393" w:rsidRPr="00E0356D" w:rsidP="00B64393">
      <w:pPr>
        <w:jc w:val="both"/>
        <w:rPr>
          <w:sz w:val="20"/>
          <w:szCs w:val="20"/>
        </w:rPr>
      </w:pPr>
      <w:r w:rsidRPr="00E0356D">
        <w:rPr>
          <w:sz w:val="20"/>
          <w:szCs w:val="20"/>
        </w:rPr>
        <w:t> </w:t>
      </w:r>
    </w:p>
    <w:p w:rsidR="00B64393" w:rsidRPr="00E0356D" w:rsidP="00B64393">
      <w:pPr>
        <w:ind w:firstLine="360"/>
        <w:jc w:val="both"/>
        <w:rPr>
          <w:sz w:val="20"/>
          <w:szCs w:val="20"/>
        </w:rPr>
      </w:pPr>
      <w:r w:rsidRPr="00E0356D">
        <w:rPr>
          <w:sz w:val="20"/>
          <w:szCs w:val="20"/>
        </w:rPr>
        <w:t xml:space="preserve">The affirmative vote of the holders of a majority of the </w:t>
      </w:r>
      <w:r>
        <w:rPr>
          <w:sz w:val="20"/>
          <w:szCs w:val="20"/>
        </w:rPr>
        <w:t>Ordinary Shares</w:t>
      </w:r>
      <w:r w:rsidRPr="00E0356D">
        <w:rPr>
          <w:sz w:val="20"/>
          <w:szCs w:val="20"/>
        </w:rPr>
        <w:t xml:space="preserve"> </w:t>
      </w:r>
      <w:r w:rsidR="00BD60B6">
        <w:rPr>
          <w:sz w:val="20"/>
          <w:szCs w:val="20"/>
        </w:rPr>
        <w:t xml:space="preserve"> and Preferred Shares combined</w:t>
      </w:r>
      <w:r w:rsidR="009D36F6">
        <w:rPr>
          <w:sz w:val="20"/>
          <w:szCs w:val="20"/>
        </w:rPr>
        <w:t>, either</w:t>
      </w:r>
      <w:r w:rsidR="00BD60B6">
        <w:rPr>
          <w:sz w:val="20"/>
          <w:szCs w:val="20"/>
        </w:rPr>
        <w:t xml:space="preserve"> </w:t>
      </w:r>
      <w:r w:rsidRPr="00E0356D">
        <w:rPr>
          <w:sz w:val="20"/>
          <w:szCs w:val="20"/>
        </w:rPr>
        <w:t xml:space="preserve">present in person or represented by proxy and entitled to vote at the </w:t>
      </w:r>
      <w:r w:rsidR="00083858">
        <w:rPr>
          <w:sz w:val="20"/>
          <w:szCs w:val="20"/>
        </w:rPr>
        <w:t>Gener</w:t>
      </w:r>
      <w:r w:rsidRPr="00E0356D">
        <w:rPr>
          <w:sz w:val="20"/>
          <w:szCs w:val="20"/>
        </w:rPr>
        <w:t>al Meeting is required for approval of this Proposal. The Board recommends a vote FOR this Proposal.</w:t>
      </w:r>
    </w:p>
    <w:p w:rsidR="005C4BB4" w:rsidP="00083CA6">
      <w:pPr>
        <w:jc w:val="center"/>
        <w:rPr>
          <w:sz w:val="20"/>
          <w:szCs w:val="20"/>
        </w:rPr>
      </w:pPr>
    </w:p>
    <w:p w:rsidR="005C4BB4">
      <w:pPr>
        <w:spacing w:after="160" w:line="259" w:lineRule="auto"/>
        <w:rPr>
          <w:b/>
          <w:bCs/>
          <w:sz w:val="20"/>
          <w:szCs w:val="20"/>
        </w:rPr>
      </w:pPr>
      <w:bookmarkStart w:id="3" w:name="a_006"/>
      <w:bookmarkEnd w:id="3"/>
    </w:p>
    <w:p w:rsidR="005C4BB4" w:rsidP="009C493B">
      <w:pPr>
        <w:keepNext/>
        <w:keepLines/>
        <w:widowControl w:val="0"/>
        <w:jc w:val="center"/>
        <w:rPr>
          <w:b/>
          <w:bCs/>
          <w:sz w:val="20"/>
          <w:szCs w:val="20"/>
        </w:rPr>
      </w:pPr>
      <w:r w:rsidRPr="00E0356D">
        <w:rPr>
          <w:b/>
          <w:bCs/>
          <w:sz w:val="20"/>
          <w:szCs w:val="20"/>
        </w:rPr>
        <w:t>PROPOSAL 2</w:t>
      </w:r>
    </w:p>
    <w:p w:rsidR="009C493B" w:rsidRPr="00E0356D" w:rsidP="009C493B">
      <w:pPr>
        <w:keepNext/>
        <w:keepLines/>
        <w:widowControl w:val="0"/>
        <w:jc w:val="center"/>
        <w:rPr>
          <w:sz w:val="20"/>
          <w:szCs w:val="20"/>
        </w:rPr>
      </w:pPr>
    </w:p>
    <w:p w:rsidR="005C4BB4" w:rsidP="009C493B">
      <w:pPr>
        <w:keepNext/>
        <w:keepLines/>
        <w:widowControl w:val="0"/>
        <w:jc w:val="center"/>
        <w:rPr>
          <w:b/>
          <w:bCs/>
          <w:sz w:val="20"/>
          <w:szCs w:val="20"/>
        </w:rPr>
      </w:pPr>
      <w:r>
        <w:rPr>
          <w:b/>
          <w:bCs/>
          <w:sz w:val="20"/>
          <w:szCs w:val="20"/>
        </w:rPr>
        <w:t xml:space="preserve">APPROVAL OF PROPOSED </w:t>
      </w:r>
      <w:r w:rsidR="00B64393">
        <w:rPr>
          <w:b/>
          <w:bCs/>
          <w:sz w:val="20"/>
          <w:szCs w:val="20"/>
        </w:rPr>
        <w:t xml:space="preserve">OMNIBUS </w:t>
      </w:r>
      <w:r>
        <w:rPr>
          <w:b/>
          <w:bCs/>
          <w:sz w:val="20"/>
          <w:szCs w:val="20"/>
        </w:rPr>
        <w:t>EQUITY INCENTIVE PLAN</w:t>
      </w:r>
    </w:p>
    <w:p w:rsidR="005C4BB4" w:rsidP="009C493B">
      <w:pPr>
        <w:keepNext/>
        <w:keepLines/>
        <w:widowControl w:val="0"/>
        <w:jc w:val="center"/>
        <w:rPr>
          <w:bCs/>
          <w:sz w:val="20"/>
          <w:szCs w:val="20"/>
        </w:rPr>
      </w:pPr>
    </w:p>
    <w:p w:rsidR="00B64393" w:rsidRPr="00083CA6" w:rsidP="00B64393">
      <w:pPr>
        <w:ind w:firstLine="540"/>
        <w:jc w:val="both"/>
        <w:rPr>
          <w:sz w:val="20"/>
          <w:szCs w:val="20"/>
        </w:rPr>
      </w:pPr>
      <w:r>
        <w:rPr>
          <w:bCs/>
          <w:sz w:val="20"/>
          <w:szCs w:val="20"/>
        </w:rPr>
        <w:t>The Compensation Committee of the Board has recommended that the Company should establish and maintain a</w:t>
      </w:r>
      <w:r>
        <w:rPr>
          <w:bCs/>
          <w:sz w:val="20"/>
          <w:szCs w:val="20"/>
        </w:rPr>
        <w:t xml:space="preserve"> second</w:t>
      </w:r>
      <w:r>
        <w:rPr>
          <w:bCs/>
          <w:sz w:val="20"/>
          <w:szCs w:val="20"/>
        </w:rPr>
        <w:t xml:space="preserve"> omnibus equity incentive plan</w:t>
      </w:r>
      <w:r>
        <w:rPr>
          <w:bCs/>
          <w:sz w:val="20"/>
          <w:szCs w:val="20"/>
        </w:rPr>
        <w:t xml:space="preserve"> (hereinafter, </w:t>
      </w:r>
      <w:r w:rsidR="00F71DAB">
        <w:rPr>
          <w:bCs/>
          <w:sz w:val="20"/>
          <w:szCs w:val="20"/>
        </w:rPr>
        <w:t>Second</w:t>
      </w:r>
      <w:r w:rsidR="00083858">
        <w:rPr>
          <w:bCs/>
          <w:sz w:val="20"/>
          <w:szCs w:val="20"/>
        </w:rPr>
        <w:t xml:space="preserve"> Incentive</w:t>
      </w:r>
      <w:r>
        <w:rPr>
          <w:bCs/>
          <w:sz w:val="20"/>
          <w:szCs w:val="20"/>
        </w:rPr>
        <w:t xml:space="preserve"> Plan)</w:t>
      </w:r>
      <w:r>
        <w:rPr>
          <w:bCs/>
          <w:sz w:val="20"/>
          <w:szCs w:val="20"/>
        </w:rPr>
        <w:t xml:space="preserve"> </w:t>
      </w:r>
      <w:r>
        <w:rPr>
          <w:sz w:val="21"/>
        </w:rPr>
        <w:t>pursuant to which the Company may offer</w:t>
      </w:r>
      <w:r>
        <w:rPr>
          <w:sz w:val="21"/>
        </w:rPr>
        <w:t xml:space="preserve"> up to 5,000,000 Ordinary Shares to</w:t>
      </w:r>
      <w:r>
        <w:rPr>
          <w:sz w:val="21"/>
        </w:rPr>
        <w:t xml:space="preserve"> selected officers, directors, employees of and consultants to the Company and its subsidiaries the opportunity to acquire or increase equity ownership in the Company.</w:t>
      </w:r>
      <w:r>
        <w:rPr>
          <w:sz w:val="21"/>
        </w:rPr>
        <w:t xml:space="preserve">  </w:t>
      </w:r>
      <w:r>
        <w:rPr>
          <w:sz w:val="20"/>
          <w:szCs w:val="20"/>
        </w:rPr>
        <w:t xml:space="preserve">At the April 20, 2021 Annual General Meeting, the Company’s shareholders approved the 2021 Omnibus Equity Incentive Plan.  A total of 2,415,293 Ordinary Shares are authorized for issuance under the prior 2021 Omnibus Plan.  As of this date, a total of </w:t>
      </w:r>
      <w:r w:rsidR="00BD60B6">
        <w:rPr>
          <w:sz w:val="20"/>
          <w:szCs w:val="20"/>
        </w:rPr>
        <w:t>2,225,930</w:t>
      </w:r>
      <w:r>
        <w:rPr>
          <w:sz w:val="20"/>
          <w:szCs w:val="20"/>
        </w:rPr>
        <w:t xml:space="preserve"> Ordinary Shares have been awarded as Restricted Stock Units under the 2021 Omnibus Plan.</w:t>
      </w:r>
    </w:p>
    <w:p w:rsidR="005C4BB4" w:rsidP="005C4BB4">
      <w:pPr>
        <w:pStyle w:val="NormalWeb"/>
        <w:shd w:val="clear" w:color="auto" w:fill="FFFFFF"/>
        <w:spacing w:before="0" w:beforeAutospacing="0" w:after="0" w:afterAutospacing="0"/>
        <w:ind w:firstLine="490"/>
        <w:rPr>
          <w:sz w:val="21"/>
        </w:rPr>
      </w:pPr>
    </w:p>
    <w:p w:rsidR="005C4BB4" w:rsidP="005C4BB4">
      <w:pPr>
        <w:pStyle w:val="NormalWeb"/>
        <w:shd w:val="clear" w:color="auto" w:fill="FFFFFF"/>
        <w:spacing w:before="0" w:beforeAutospacing="0" w:after="0" w:afterAutospacing="0"/>
        <w:ind w:firstLine="490"/>
        <w:jc w:val="both"/>
        <w:rPr>
          <w:bCs/>
          <w:sz w:val="20"/>
          <w:szCs w:val="20"/>
        </w:rPr>
      </w:pPr>
      <w:r>
        <w:rPr>
          <w:bCs/>
          <w:sz w:val="20"/>
          <w:szCs w:val="20"/>
        </w:rPr>
        <w:t xml:space="preserve">A copy of the </w:t>
      </w:r>
      <w:r w:rsidR="00B64393">
        <w:rPr>
          <w:bCs/>
          <w:sz w:val="20"/>
          <w:szCs w:val="20"/>
        </w:rPr>
        <w:t xml:space="preserve">proposed </w:t>
      </w:r>
      <w:r w:rsidR="00F71DAB">
        <w:rPr>
          <w:bCs/>
          <w:sz w:val="20"/>
          <w:szCs w:val="20"/>
        </w:rPr>
        <w:t>Second Incentive</w:t>
      </w:r>
      <w:r w:rsidR="00B64393">
        <w:rPr>
          <w:bCs/>
          <w:sz w:val="20"/>
          <w:szCs w:val="20"/>
        </w:rPr>
        <w:t xml:space="preserve"> Plan </w:t>
      </w:r>
      <w:r>
        <w:rPr>
          <w:bCs/>
          <w:sz w:val="20"/>
          <w:szCs w:val="20"/>
        </w:rPr>
        <w:t xml:space="preserve">has been enclosed with this proxy statement (which is subject to </w:t>
      </w:r>
      <w:r>
        <w:rPr>
          <w:sz w:val="20"/>
          <w:szCs w:val="20"/>
        </w:rPr>
        <w:t>such reasonable amendments as determined by the Board)</w:t>
      </w:r>
      <w:r>
        <w:rPr>
          <w:bCs/>
          <w:sz w:val="20"/>
          <w:szCs w:val="20"/>
        </w:rPr>
        <w:t>.</w:t>
      </w:r>
    </w:p>
    <w:p w:rsidR="005C4BB4" w:rsidP="005C4BB4">
      <w:pPr>
        <w:pStyle w:val="NormalWeb"/>
        <w:shd w:val="clear" w:color="auto" w:fill="FFFFFF"/>
        <w:spacing w:before="0" w:beforeAutospacing="0" w:after="0" w:afterAutospacing="0"/>
        <w:ind w:firstLine="490"/>
        <w:rPr>
          <w:bCs/>
          <w:sz w:val="20"/>
          <w:szCs w:val="20"/>
        </w:rPr>
      </w:pPr>
    </w:p>
    <w:p w:rsidR="005C4BB4" w:rsidRPr="00E0356D" w:rsidP="00B64393">
      <w:pPr>
        <w:keepNext/>
        <w:keepLines/>
        <w:widowControl w:val="0"/>
        <w:jc w:val="both"/>
        <w:rPr>
          <w:sz w:val="20"/>
          <w:szCs w:val="20"/>
        </w:rPr>
      </w:pPr>
      <w:r w:rsidRPr="00E0356D">
        <w:rPr>
          <w:b/>
          <w:bCs/>
          <w:sz w:val="20"/>
          <w:szCs w:val="20"/>
        </w:rPr>
        <w:t>Vote Required and Board Recommendation</w:t>
      </w:r>
    </w:p>
    <w:p w:rsidR="005C4BB4" w:rsidRPr="00E0356D" w:rsidP="00B64393">
      <w:pPr>
        <w:keepNext/>
        <w:keepLines/>
        <w:widowControl w:val="0"/>
        <w:jc w:val="both"/>
        <w:rPr>
          <w:sz w:val="20"/>
          <w:szCs w:val="20"/>
        </w:rPr>
      </w:pPr>
      <w:r w:rsidRPr="00E0356D">
        <w:rPr>
          <w:sz w:val="20"/>
          <w:szCs w:val="20"/>
        </w:rPr>
        <w:t> </w:t>
      </w:r>
    </w:p>
    <w:p w:rsidR="005C4BB4" w:rsidP="005C4BB4">
      <w:pPr>
        <w:ind w:firstLine="360"/>
        <w:jc w:val="both"/>
        <w:rPr>
          <w:sz w:val="20"/>
          <w:szCs w:val="20"/>
        </w:rPr>
      </w:pPr>
      <w:r w:rsidRPr="00E0356D">
        <w:rPr>
          <w:sz w:val="20"/>
          <w:szCs w:val="20"/>
        </w:rPr>
        <w:t xml:space="preserve">The affirmative vote of the holders of a majority of the </w:t>
      </w:r>
      <w:r>
        <w:rPr>
          <w:sz w:val="20"/>
          <w:szCs w:val="20"/>
        </w:rPr>
        <w:t>Ordinary Shares</w:t>
      </w:r>
      <w:r w:rsidR="00083858">
        <w:rPr>
          <w:sz w:val="20"/>
          <w:szCs w:val="20"/>
        </w:rPr>
        <w:t xml:space="preserve"> and Preferred Shares combined</w:t>
      </w:r>
      <w:r w:rsidR="009D36F6">
        <w:rPr>
          <w:sz w:val="20"/>
          <w:szCs w:val="20"/>
        </w:rPr>
        <w:t>, either</w:t>
      </w:r>
      <w:r w:rsidRPr="00E0356D">
        <w:rPr>
          <w:sz w:val="20"/>
          <w:szCs w:val="20"/>
        </w:rPr>
        <w:t xml:space="preserve"> present in person or represented by proxy and entitled to vote at the </w:t>
      </w:r>
      <w:r w:rsidR="00CB10DD">
        <w:rPr>
          <w:sz w:val="20"/>
          <w:szCs w:val="20"/>
        </w:rPr>
        <w:t>General Meeting</w:t>
      </w:r>
      <w:r w:rsidRPr="00E0356D">
        <w:rPr>
          <w:sz w:val="20"/>
          <w:szCs w:val="20"/>
        </w:rPr>
        <w:t xml:space="preserve"> is required for approval of this Proposal. The Board recommends a vote FOR this Proposal</w:t>
      </w:r>
      <w:r>
        <w:rPr>
          <w:sz w:val="20"/>
          <w:szCs w:val="20"/>
        </w:rPr>
        <w:t>.</w:t>
      </w:r>
    </w:p>
    <w:p w:rsidR="005C4BB4" w:rsidP="005C4BB4">
      <w:pPr>
        <w:jc w:val="center"/>
        <w:rPr>
          <w:b/>
          <w:bCs/>
          <w:sz w:val="20"/>
          <w:szCs w:val="20"/>
        </w:rPr>
      </w:pPr>
    </w:p>
    <w:p w:rsidR="005C4BB4" w:rsidP="005C4BB4">
      <w:pPr>
        <w:jc w:val="center"/>
        <w:rPr>
          <w:b/>
          <w:bCs/>
          <w:sz w:val="20"/>
          <w:szCs w:val="20"/>
        </w:rPr>
      </w:pPr>
    </w:p>
    <w:p w:rsidR="005C4BB4" w:rsidP="00FC5A13">
      <w:pPr>
        <w:keepNext/>
        <w:keepLines/>
        <w:widowControl w:val="0"/>
        <w:jc w:val="center"/>
        <w:rPr>
          <w:b/>
          <w:bCs/>
          <w:sz w:val="20"/>
          <w:szCs w:val="20"/>
        </w:rPr>
      </w:pPr>
      <w:r w:rsidRPr="00E0356D">
        <w:rPr>
          <w:b/>
          <w:bCs/>
          <w:sz w:val="20"/>
          <w:szCs w:val="20"/>
        </w:rPr>
        <w:t>OTHER MATTERS</w:t>
      </w:r>
    </w:p>
    <w:p w:rsidR="00FC5A13" w:rsidRPr="00E0356D" w:rsidP="00FC5A13">
      <w:pPr>
        <w:keepNext/>
        <w:keepLines/>
        <w:widowControl w:val="0"/>
        <w:jc w:val="center"/>
        <w:rPr>
          <w:sz w:val="20"/>
          <w:szCs w:val="20"/>
        </w:rPr>
      </w:pPr>
    </w:p>
    <w:p w:rsidR="005C4BB4" w:rsidRPr="00E0356D" w:rsidP="00FC5A13">
      <w:pPr>
        <w:keepNext/>
        <w:keepLines/>
        <w:widowControl w:val="0"/>
        <w:jc w:val="center"/>
        <w:rPr>
          <w:sz w:val="20"/>
          <w:szCs w:val="20"/>
        </w:rPr>
      </w:pPr>
      <w:r w:rsidRPr="00E0356D">
        <w:rPr>
          <w:b/>
          <w:bCs/>
          <w:sz w:val="20"/>
          <w:szCs w:val="20"/>
        </w:rPr>
        <w:t>GENERAL</w:t>
      </w:r>
    </w:p>
    <w:p w:rsidR="005C4BB4" w:rsidRPr="00E0356D" w:rsidP="00FC5A13">
      <w:pPr>
        <w:keepNext/>
        <w:keepLines/>
        <w:widowControl w:val="0"/>
        <w:ind w:firstLine="360"/>
        <w:jc w:val="both"/>
        <w:rPr>
          <w:sz w:val="20"/>
          <w:szCs w:val="20"/>
        </w:rPr>
      </w:pPr>
      <w:r w:rsidRPr="00E0356D">
        <w:rPr>
          <w:sz w:val="20"/>
          <w:szCs w:val="20"/>
        </w:rPr>
        <w:t> </w:t>
      </w:r>
    </w:p>
    <w:p w:rsidR="005C4BB4" w:rsidP="005C4BB4">
      <w:pPr>
        <w:ind w:firstLine="360"/>
        <w:jc w:val="both"/>
        <w:rPr>
          <w:sz w:val="20"/>
          <w:szCs w:val="20"/>
        </w:rPr>
      </w:pPr>
      <w:r>
        <w:rPr>
          <w:sz w:val="20"/>
          <w:szCs w:val="20"/>
        </w:rPr>
        <w:t xml:space="preserve">We are not aware of </w:t>
      </w:r>
      <w:r w:rsidRPr="00E0356D">
        <w:rPr>
          <w:sz w:val="20"/>
          <w:szCs w:val="20"/>
        </w:rPr>
        <w:t xml:space="preserve">any matters other than those stated in this Proxy Statement that are to be presented for action at the </w:t>
      </w:r>
      <w:r w:rsidR="009C493B">
        <w:rPr>
          <w:sz w:val="20"/>
          <w:szCs w:val="20"/>
        </w:rPr>
        <w:t>Gener</w:t>
      </w:r>
      <w:r>
        <w:rPr>
          <w:sz w:val="20"/>
          <w:szCs w:val="20"/>
        </w:rPr>
        <w:t>al M</w:t>
      </w:r>
      <w:r w:rsidRPr="00E0356D">
        <w:rPr>
          <w:sz w:val="20"/>
          <w:szCs w:val="20"/>
        </w:rPr>
        <w:t xml:space="preserve">eeting. If any other matters should properly come before the </w:t>
      </w:r>
      <w:r w:rsidR="009C493B">
        <w:rPr>
          <w:sz w:val="20"/>
          <w:szCs w:val="20"/>
        </w:rPr>
        <w:t>Gener</w:t>
      </w:r>
      <w:r>
        <w:rPr>
          <w:sz w:val="20"/>
          <w:szCs w:val="20"/>
        </w:rPr>
        <w:t>al M</w:t>
      </w:r>
      <w:r w:rsidRPr="00E0356D">
        <w:rPr>
          <w:sz w:val="20"/>
          <w:szCs w:val="20"/>
        </w:rPr>
        <w:t xml:space="preserve">eeting, it is intended that </w:t>
      </w:r>
      <w:r w:rsidRPr="00E0356D">
        <w:rPr>
          <w:sz w:val="20"/>
          <w:szCs w:val="20"/>
        </w:rPr>
        <w:t>proxies in the accompanying form will be voted on any such other matters in accordance with the judgment of the persons voting such proxies. Discretionary authority to vote on such matters is conferred by such proxies upon the persons voting them.</w:t>
      </w:r>
    </w:p>
    <w:p w:rsidR="005C4BB4" w:rsidRPr="00E0356D" w:rsidP="005C4BB4">
      <w:pPr>
        <w:ind w:firstLine="360"/>
        <w:rPr>
          <w:sz w:val="20"/>
          <w:szCs w:val="20"/>
        </w:rPr>
      </w:pPr>
    </w:p>
    <w:p w:rsidR="005C4BB4" w:rsidRPr="00E0356D" w:rsidP="005C4BB4">
      <w:pPr>
        <w:rPr>
          <w:sz w:val="20"/>
          <w:szCs w:val="20"/>
        </w:rPr>
      </w:pPr>
      <w:r w:rsidRPr="00E0356D">
        <w:rPr>
          <w:sz w:val="20"/>
          <w:szCs w:val="20"/>
        </w:rPr>
        <w:t>  </w:t>
      </w:r>
    </w:p>
    <w:p w:rsidR="005C4BB4" w:rsidRPr="00E0356D" w:rsidP="00BD60B6">
      <w:pPr>
        <w:keepNext/>
        <w:keepLines/>
        <w:widowControl w:val="0"/>
        <w:jc w:val="center"/>
        <w:rPr>
          <w:sz w:val="20"/>
          <w:szCs w:val="20"/>
        </w:rPr>
      </w:pPr>
      <w:r w:rsidRPr="00E0356D">
        <w:rPr>
          <w:b/>
          <w:bCs/>
          <w:sz w:val="20"/>
          <w:szCs w:val="20"/>
        </w:rPr>
        <w:t>COMMUNICATIONS WITH THE BOARD OF DIRECTORS</w:t>
      </w:r>
    </w:p>
    <w:p w:rsidR="005C4BB4" w:rsidRPr="00E0356D" w:rsidP="00BD60B6">
      <w:pPr>
        <w:keepNext/>
        <w:keepLines/>
        <w:widowControl w:val="0"/>
        <w:jc w:val="both"/>
        <w:rPr>
          <w:sz w:val="20"/>
          <w:szCs w:val="20"/>
        </w:rPr>
      </w:pPr>
      <w:r w:rsidRPr="00E0356D">
        <w:rPr>
          <w:sz w:val="20"/>
          <w:szCs w:val="20"/>
        </w:rPr>
        <w:t> </w:t>
      </w:r>
    </w:p>
    <w:p w:rsidR="005C4BB4" w:rsidP="005C4BB4">
      <w:pPr>
        <w:ind w:firstLine="360"/>
        <w:jc w:val="both"/>
        <w:rPr>
          <w:sz w:val="20"/>
          <w:szCs w:val="20"/>
        </w:rPr>
      </w:pPr>
      <w:r w:rsidRPr="00E0356D">
        <w:rPr>
          <w:sz w:val="20"/>
          <w:szCs w:val="20"/>
        </w:rPr>
        <w:t xml:space="preserve">Shareholders wishing to communicate with the Board or any individual director may write to the Board or the individual director to the Board, </w:t>
      </w:r>
      <w:r>
        <w:rPr>
          <w:sz w:val="20"/>
          <w:szCs w:val="20"/>
        </w:rPr>
        <w:t>Bit Digital, Inc.</w:t>
      </w:r>
      <w:r w:rsidRPr="00E0356D">
        <w:rPr>
          <w:sz w:val="20"/>
          <w:szCs w:val="20"/>
        </w:rPr>
        <w:t xml:space="preserve">, </w:t>
      </w:r>
      <w:r>
        <w:rPr>
          <w:sz w:val="20"/>
          <w:szCs w:val="20"/>
        </w:rPr>
        <w:t>33 Irving Place, New York, N.Y., 10003; (347) 328-3680</w:t>
      </w:r>
      <w:r w:rsidRPr="00E0356D">
        <w:rPr>
          <w:sz w:val="20"/>
          <w:szCs w:val="20"/>
        </w:rPr>
        <w:t>. Any such communication must state the number of Shares beneficially owned by the shareholder making the communication. All such communications will be forwarded to the full Board or to any individual director or directors to whom the communication is directed unless the communication is clearly of a marketing nature or is unduly hostile, threatening, illegal, or similarly inappropriate, in which case the Company has the authority to discard the communication or take appropriate legal action regarding the communication.</w:t>
      </w:r>
    </w:p>
    <w:p w:rsidR="009C493B" w:rsidRPr="00E0356D" w:rsidP="005C4BB4">
      <w:pPr>
        <w:ind w:firstLine="360"/>
        <w:jc w:val="both"/>
        <w:rPr>
          <w:sz w:val="20"/>
          <w:szCs w:val="20"/>
        </w:rPr>
      </w:pPr>
    </w:p>
    <w:p w:rsidR="005C4BB4" w:rsidRPr="00E0356D" w:rsidP="005C4BB4">
      <w:pPr>
        <w:jc w:val="center"/>
        <w:rPr>
          <w:sz w:val="20"/>
          <w:szCs w:val="20"/>
        </w:rPr>
      </w:pPr>
      <w:r w:rsidRPr="00E0356D">
        <w:rPr>
          <w:sz w:val="20"/>
          <w:szCs w:val="20"/>
        </w:rPr>
        <w:t> </w:t>
      </w:r>
    </w:p>
    <w:p w:rsidR="005C4BB4" w:rsidRPr="00E0356D" w:rsidP="005C4BB4">
      <w:pPr>
        <w:jc w:val="center"/>
        <w:rPr>
          <w:sz w:val="20"/>
          <w:szCs w:val="20"/>
        </w:rPr>
      </w:pPr>
      <w:r w:rsidRPr="00E0356D">
        <w:rPr>
          <w:b/>
          <w:bCs/>
          <w:sz w:val="20"/>
          <w:szCs w:val="20"/>
        </w:rPr>
        <w:t>WHERE YOU CAN FIND MORE INFORMATION</w:t>
      </w:r>
    </w:p>
    <w:p w:rsidR="005C4BB4" w:rsidRPr="00E0356D" w:rsidP="005C4BB4">
      <w:pPr>
        <w:jc w:val="both"/>
        <w:rPr>
          <w:sz w:val="20"/>
          <w:szCs w:val="20"/>
        </w:rPr>
      </w:pPr>
      <w:r w:rsidRPr="00E0356D">
        <w:rPr>
          <w:sz w:val="20"/>
          <w:szCs w:val="20"/>
        </w:rPr>
        <w:t> </w:t>
      </w:r>
    </w:p>
    <w:p w:rsidR="005C4BB4" w:rsidRPr="00E0356D" w:rsidP="005C4BB4">
      <w:pPr>
        <w:ind w:firstLine="360"/>
        <w:jc w:val="both"/>
        <w:rPr>
          <w:sz w:val="20"/>
          <w:szCs w:val="20"/>
        </w:rPr>
      </w:pPr>
      <w:r w:rsidRPr="00E0356D">
        <w:rPr>
          <w:sz w:val="20"/>
          <w:szCs w:val="20"/>
        </w:rPr>
        <w:t>The Company files annual and current reports and other documents with the SEC under the Exchange Act</w:t>
      </w:r>
      <w:r w:rsidR="009C493B">
        <w:rPr>
          <w:sz w:val="20"/>
          <w:szCs w:val="20"/>
        </w:rPr>
        <w:t xml:space="preserve"> as a </w:t>
      </w:r>
      <w:r w:rsidR="00BD60B6">
        <w:rPr>
          <w:sz w:val="20"/>
          <w:szCs w:val="20"/>
        </w:rPr>
        <w:t>foreign private</w:t>
      </w:r>
      <w:r w:rsidR="009C493B">
        <w:rPr>
          <w:sz w:val="20"/>
          <w:szCs w:val="20"/>
        </w:rPr>
        <w:t xml:space="preserve"> </w:t>
      </w:r>
      <w:r w:rsidR="009D36F6">
        <w:rPr>
          <w:sz w:val="20"/>
          <w:szCs w:val="20"/>
        </w:rPr>
        <w:t>i</w:t>
      </w:r>
      <w:r w:rsidR="009C493B">
        <w:rPr>
          <w:sz w:val="20"/>
          <w:szCs w:val="20"/>
        </w:rPr>
        <w:t>ssuer</w:t>
      </w:r>
      <w:r w:rsidRPr="00E0356D">
        <w:rPr>
          <w:sz w:val="20"/>
          <w:szCs w:val="20"/>
        </w:rPr>
        <w:t xml:space="preserve">. </w:t>
      </w:r>
      <w:r w:rsidR="009C493B">
        <w:rPr>
          <w:sz w:val="20"/>
          <w:szCs w:val="20"/>
        </w:rPr>
        <w:t xml:space="preserve"> </w:t>
      </w:r>
      <w:r w:rsidRPr="00E0356D">
        <w:rPr>
          <w:sz w:val="20"/>
          <w:szCs w:val="20"/>
        </w:rPr>
        <w:t>The Company’s SEC filings made electronically through the SEC’s EDGAR system are available to the public at the SEC’s website at </w:t>
      </w:r>
      <w:r w:rsidRPr="00E0356D">
        <w:rPr>
          <w:i/>
          <w:iCs/>
          <w:sz w:val="20"/>
          <w:szCs w:val="20"/>
        </w:rPr>
        <w:t>http://www.sec.gov</w:t>
      </w:r>
      <w:r w:rsidRPr="00E0356D">
        <w:rPr>
          <w:sz w:val="20"/>
          <w:szCs w:val="20"/>
        </w:rPr>
        <w:t xml:space="preserve">. You may read and copy any document the Company files at the website of the SEC referred to above. The Company’s file number with the SEC is </w:t>
      </w:r>
      <w:r>
        <w:rPr>
          <w:sz w:val="20"/>
          <w:szCs w:val="20"/>
        </w:rPr>
        <w:t>001-38421</w:t>
      </w:r>
      <w:r w:rsidRPr="00E0356D">
        <w:rPr>
          <w:sz w:val="20"/>
          <w:szCs w:val="20"/>
        </w:rPr>
        <w:t>.</w:t>
      </w:r>
    </w:p>
    <w:p w:rsidR="005C4BB4" w:rsidRPr="00E0356D" w:rsidP="005C4BB4">
      <w:pPr>
        <w:ind w:firstLine="360"/>
        <w:jc w:val="both"/>
        <w:rPr>
          <w:sz w:val="20"/>
          <w:szCs w:val="20"/>
        </w:rPr>
      </w:pPr>
      <w:r w:rsidRPr="00E0356D">
        <w:rPr>
          <w:sz w:val="20"/>
          <w:szCs w:val="20"/>
        </w:rPr>
        <w:t> </w:t>
      </w:r>
    </w:p>
    <w:tbl>
      <w:tblPr>
        <w:tblW w:w="9417" w:type="dxa"/>
        <w:tblCellMar>
          <w:left w:w="0" w:type="dxa"/>
          <w:right w:w="0" w:type="dxa"/>
        </w:tblCellMar>
        <w:tblLook w:val="04A0"/>
      </w:tblPr>
      <w:tblGrid>
        <w:gridCol w:w="5654"/>
        <w:gridCol w:w="3763"/>
      </w:tblGrid>
      <w:tr w:rsidTr="005C4BB4">
        <w:tblPrEx>
          <w:tblW w:w="9417" w:type="dxa"/>
          <w:tblCellMar>
            <w:left w:w="0" w:type="dxa"/>
            <w:right w:w="0" w:type="dxa"/>
          </w:tblCellMar>
          <w:tblLook w:val="04A0"/>
        </w:tblPrEx>
        <w:tc>
          <w:tcPr>
            <w:tcW w:w="5630" w:type="dxa"/>
            <w:tcMar>
              <w:top w:w="0" w:type="dxa"/>
              <w:left w:w="10" w:type="dxa"/>
              <w:bottom w:w="0" w:type="dxa"/>
              <w:right w:w="10" w:type="dxa"/>
            </w:tcMar>
            <w:hideMark/>
          </w:tcPr>
          <w:p w:rsidR="005C4BB4" w:rsidRPr="00E0356D" w:rsidP="005C4BB4">
            <w:pPr>
              <w:rPr>
                <w:sz w:val="20"/>
                <w:szCs w:val="20"/>
              </w:rPr>
            </w:pPr>
            <w:r>
              <w:rPr>
                <w:sz w:val="20"/>
                <w:szCs w:val="20"/>
              </w:rPr>
              <w:t xml:space="preserve">August </w:t>
            </w:r>
            <w:r w:rsidR="00485279">
              <w:rPr>
                <w:sz w:val="20"/>
                <w:szCs w:val="20"/>
              </w:rPr>
              <w:t>1</w:t>
            </w:r>
            <w:r w:rsidR="001C749F">
              <w:rPr>
                <w:sz w:val="20"/>
                <w:szCs w:val="20"/>
              </w:rPr>
              <w:t>6</w:t>
            </w:r>
            <w:r w:rsidRPr="00E0356D">
              <w:rPr>
                <w:sz w:val="20"/>
                <w:szCs w:val="20"/>
              </w:rPr>
              <w:t>, 202</w:t>
            </w:r>
            <w:r>
              <w:rPr>
                <w:sz w:val="20"/>
                <w:szCs w:val="20"/>
              </w:rPr>
              <w:t>1</w:t>
            </w:r>
          </w:p>
        </w:tc>
        <w:tc>
          <w:tcPr>
            <w:tcW w:w="3747" w:type="dxa"/>
            <w:tcMar>
              <w:top w:w="0" w:type="dxa"/>
              <w:left w:w="10" w:type="dxa"/>
              <w:bottom w:w="0" w:type="dxa"/>
              <w:right w:w="10" w:type="dxa"/>
            </w:tcMar>
            <w:hideMark/>
          </w:tcPr>
          <w:p w:rsidR="005C4BB4" w:rsidRPr="00E0356D" w:rsidP="005C4BB4">
            <w:pPr>
              <w:rPr>
                <w:sz w:val="20"/>
                <w:szCs w:val="20"/>
              </w:rPr>
            </w:pPr>
            <w:r w:rsidRPr="00E0356D">
              <w:rPr>
                <w:sz w:val="20"/>
                <w:szCs w:val="20"/>
              </w:rPr>
              <w:t>By Order of the Board of Directors</w:t>
            </w:r>
          </w:p>
        </w:tc>
      </w:tr>
      <w:tr w:rsidTr="005C4BB4">
        <w:tblPrEx>
          <w:tblW w:w="9417" w:type="dxa"/>
          <w:tblCellMar>
            <w:left w:w="0" w:type="dxa"/>
            <w:right w:w="0" w:type="dxa"/>
          </w:tblCellMar>
          <w:tblLook w:val="04A0"/>
        </w:tblPrEx>
        <w:tc>
          <w:tcPr>
            <w:tcW w:w="0" w:type="auto"/>
            <w:tcMar>
              <w:top w:w="0" w:type="dxa"/>
              <w:left w:w="10" w:type="dxa"/>
              <w:bottom w:w="0" w:type="dxa"/>
              <w:right w:w="10" w:type="dxa"/>
            </w:tcMar>
            <w:hideMark/>
          </w:tcPr>
          <w:p w:rsidR="005C4BB4" w:rsidRPr="00E0356D" w:rsidP="005C4BB4">
            <w:pPr>
              <w:rPr>
                <w:sz w:val="20"/>
                <w:szCs w:val="20"/>
              </w:rPr>
            </w:pPr>
            <w:r w:rsidRPr="00E0356D">
              <w:rPr>
                <w:sz w:val="20"/>
                <w:szCs w:val="20"/>
              </w:rPr>
              <w:t> </w:t>
            </w:r>
          </w:p>
        </w:tc>
        <w:tc>
          <w:tcPr>
            <w:tcW w:w="0" w:type="auto"/>
            <w:tcMar>
              <w:top w:w="0" w:type="dxa"/>
              <w:left w:w="10" w:type="dxa"/>
              <w:bottom w:w="0" w:type="dxa"/>
              <w:right w:w="10" w:type="dxa"/>
            </w:tcMar>
            <w:hideMark/>
          </w:tcPr>
          <w:p w:rsidR="005C4BB4" w:rsidRPr="00E0356D" w:rsidP="005C4BB4">
            <w:pPr>
              <w:rPr>
                <w:sz w:val="20"/>
                <w:szCs w:val="20"/>
              </w:rPr>
            </w:pPr>
            <w:r w:rsidRPr="00E0356D">
              <w:rPr>
                <w:sz w:val="20"/>
                <w:szCs w:val="20"/>
              </w:rPr>
              <w:t> </w:t>
            </w:r>
          </w:p>
        </w:tc>
      </w:tr>
      <w:tr w:rsidTr="005C4BB4">
        <w:tblPrEx>
          <w:tblW w:w="9417" w:type="dxa"/>
          <w:tblCellMar>
            <w:left w:w="0" w:type="dxa"/>
            <w:right w:w="0" w:type="dxa"/>
          </w:tblCellMar>
          <w:tblLook w:val="04A0"/>
        </w:tblPrEx>
        <w:tc>
          <w:tcPr>
            <w:tcW w:w="0" w:type="auto"/>
            <w:tcMar>
              <w:top w:w="0" w:type="dxa"/>
              <w:left w:w="10" w:type="dxa"/>
              <w:bottom w:w="0" w:type="dxa"/>
              <w:right w:w="10" w:type="dxa"/>
            </w:tcMar>
            <w:hideMark/>
          </w:tcPr>
          <w:p w:rsidR="005C4BB4" w:rsidRPr="00E0356D" w:rsidP="005C4BB4">
            <w:pPr>
              <w:rPr>
                <w:sz w:val="20"/>
                <w:szCs w:val="20"/>
              </w:rPr>
            </w:pPr>
            <w:r w:rsidRPr="00E0356D">
              <w:rPr>
                <w:sz w:val="20"/>
                <w:szCs w:val="20"/>
              </w:rPr>
              <w:t> </w:t>
            </w:r>
          </w:p>
        </w:tc>
        <w:tc>
          <w:tcPr>
            <w:tcW w:w="0" w:type="auto"/>
            <w:tcBorders>
              <w:bottom w:val="single" w:sz="12" w:space="0" w:color="000000"/>
            </w:tcBorders>
            <w:tcMar>
              <w:top w:w="0" w:type="dxa"/>
              <w:left w:w="10" w:type="dxa"/>
              <w:bottom w:w="0" w:type="dxa"/>
              <w:right w:w="10" w:type="dxa"/>
            </w:tcMar>
            <w:hideMark/>
          </w:tcPr>
          <w:p w:rsidR="005C4BB4" w:rsidRPr="00E0356D" w:rsidP="005C4BB4">
            <w:pPr>
              <w:rPr>
                <w:sz w:val="20"/>
                <w:szCs w:val="20"/>
              </w:rPr>
            </w:pPr>
            <w:r w:rsidRPr="00E0356D">
              <w:rPr>
                <w:sz w:val="20"/>
                <w:szCs w:val="20"/>
              </w:rPr>
              <w:t>/s/ </w:t>
            </w:r>
            <w:r>
              <w:rPr>
                <w:sz w:val="20"/>
                <w:szCs w:val="20"/>
              </w:rPr>
              <w:t>Zhaohui Deng</w:t>
            </w:r>
          </w:p>
        </w:tc>
      </w:tr>
      <w:tr w:rsidTr="005C4BB4">
        <w:tblPrEx>
          <w:tblW w:w="9417" w:type="dxa"/>
          <w:tblCellMar>
            <w:left w:w="0" w:type="dxa"/>
            <w:right w:w="0" w:type="dxa"/>
          </w:tblCellMar>
          <w:tblLook w:val="04A0"/>
        </w:tblPrEx>
        <w:tc>
          <w:tcPr>
            <w:tcW w:w="0" w:type="auto"/>
            <w:tcMar>
              <w:top w:w="0" w:type="dxa"/>
              <w:left w:w="10" w:type="dxa"/>
              <w:bottom w:w="0" w:type="dxa"/>
              <w:right w:w="10" w:type="dxa"/>
            </w:tcMar>
            <w:hideMark/>
          </w:tcPr>
          <w:p w:rsidR="005C4BB4" w:rsidRPr="00E0356D" w:rsidP="005C4BB4">
            <w:pPr>
              <w:rPr>
                <w:sz w:val="20"/>
                <w:szCs w:val="20"/>
              </w:rPr>
            </w:pPr>
            <w:r w:rsidRPr="00E0356D">
              <w:rPr>
                <w:sz w:val="20"/>
                <w:szCs w:val="20"/>
              </w:rPr>
              <w:t> </w:t>
            </w:r>
          </w:p>
        </w:tc>
        <w:tc>
          <w:tcPr>
            <w:tcW w:w="0" w:type="auto"/>
            <w:tcMar>
              <w:top w:w="0" w:type="dxa"/>
              <w:left w:w="10" w:type="dxa"/>
              <w:bottom w:w="0" w:type="dxa"/>
              <w:right w:w="10" w:type="dxa"/>
            </w:tcMar>
            <w:hideMark/>
          </w:tcPr>
          <w:p w:rsidR="005C4BB4" w:rsidRPr="00E0356D" w:rsidP="005C4BB4">
            <w:pPr>
              <w:rPr>
                <w:sz w:val="20"/>
                <w:szCs w:val="20"/>
              </w:rPr>
            </w:pPr>
            <w:r w:rsidRPr="00E0356D">
              <w:rPr>
                <w:sz w:val="20"/>
                <w:szCs w:val="20"/>
              </w:rPr>
              <w:t xml:space="preserve">Title: </w:t>
            </w:r>
            <w:r>
              <w:rPr>
                <w:sz w:val="20"/>
                <w:szCs w:val="20"/>
              </w:rPr>
              <w:t xml:space="preserve">Chairman and </w:t>
            </w:r>
            <w:r w:rsidRPr="00E0356D">
              <w:rPr>
                <w:sz w:val="20"/>
                <w:szCs w:val="20"/>
              </w:rPr>
              <w:t>Chief Executive Officer</w:t>
            </w:r>
          </w:p>
        </w:tc>
      </w:tr>
    </w:tbl>
    <w:p w:rsidR="00BD60B6" w:rsidP="00CD6E54">
      <w:pPr>
        <w:keepNext/>
        <w:keepLines/>
        <w:widowControl w:val="0"/>
        <w:jc w:val="center"/>
        <w:rPr>
          <w:b/>
          <w:bCs/>
          <w:sz w:val="20"/>
          <w:szCs w:val="20"/>
        </w:rPr>
      </w:pPr>
    </w:p>
    <w:p w:rsidR="00BD60B6">
      <w:pPr>
        <w:spacing w:after="160" w:line="259" w:lineRule="auto"/>
        <w:rPr>
          <w:b/>
          <w:bCs/>
          <w:sz w:val="20"/>
          <w:szCs w:val="20"/>
        </w:rPr>
      </w:pPr>
    </w:p>
    <w:sectPr w:rsidSect="005C4BB4">
      <w:footerReference w:type="default" r:id="rId4"/>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2D2" w:rsidP="005C4BB4">
    <w:pPr>
      <w:pStyle w:val="Footer"/>
      <w:rPr>
        <w:noProof/>
        <w:sz w:val="20"/>
        <w:szCs w:val="20"/>
      </w:rPr>
    </w:pPr>
    <w:r>
      <w:tab/>
    </w:r>
    <w:sdt>
      <w:sdtPr>
        <w:id w:val="2004005459"/>
        <w:docPartObj>
          <w:docPartGallery w:val="Page Numbers (Bottom of Page)"/>
          <w:docPartUnique/>
        </w:docPartObj>
      </w:sdtPr>
      <w:sdtEndPr>
        <w:rPr>
          <w:noProof/>
          <w:sz w:val="20"/>
          <w:szCs w:val="20"/>
        </w:rPr>
      </w:sdtEndPr>
      <w:sdtContent>
        <w:r w:rsidR="002F4286">
          <w:t>-</w:t>
        </w:r>
        <w:r w:rsidRPr="007B4F2C">
          <w:rPr>
            <w:sz w:val="20"/>
            <w:szCs w:val="20"/>
          </w:rPr>
          <w:fldChar w:fldCharType="begin"/>
        </w:r>
        <w:r w:rsidRPr="007B4F2C">
          <w:rPr>
            <w:sz w:val="20"/>
            <w:szCs w:val="20"/>
          </w:rPr>
          <w:instrText xml:space="preserve"> PAGE   \* MERGEFORMAT </w:instrText>
        </w:r>
        <w:r w:rsidRPr="007B4F2C">
          <w:rPr>
            <w:sz w:val="20"/>
            <w:szCs w:val="20"/>
          </w:rPr>
          <w:fldChar w:fldCharType="separate"/>
        </w:r>
        <w:r>
          <w:rPr>
            <w:noProof/>
            <w:sz w:val="20"/>
            <w:szCs w:val="20"/>
          </w:rPr>
          <w:t>16</w:t>
        </w:r>
        <w:r w:rsidRPr="007B4F2C">
          <w:rPr>
            <w:noProof/>
            <w:sz w:val="20"/>
            <w:szCs w:val="20"/>
          </w:rPr>
          <w:fldChar w:fldCharType="end"/>
        </w:r>
        <w:r w:rsidR="002F4286">
          <w:rPr>
            <w:noProof/>
            <w:sz w:val="20"/>
            <w:szCs w:val="20"/>
          </w:rPr>
          <w:t>-</w:t>
        </w:r>
      </w:sdtContent>
    </w:sdt>
  </w:p>
  <w:p w:rsidR="003862D2" w:rsidRPr="00BC4726" w:rsidP="005C4BB4">
    <w:pPr>
      <w:pStyle w:val="Footer"/>
      <w:rPr>
        <w:sz w:val="18"/>
        <w:szCs w:val="18"/>
      </w:rPr>
    </w:pPr>
    <w:r>
      <w:rPr>
        <w:sz w:val="18"/>
        <w:szCs w:val="18"/>
      </w:rPr>
      <w:t>928851v.4</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A87764"/>
    <w:multiLevelType w:val="hybridMultilevel"/>
    <w:tmpl w:val="7EE8F0EE"/>
    <w:lvl w:ilvl="0">
      <w:start w:val="1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85D4ED5"/>
    <w:multiLevelType w:val="hybridMultilevel"/>
    <w:tmpl w:val="C1209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1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56D"/>
    <w:pPr>
      <w:spacing w:before="100" w:beforeAutospacing="1" w:after="100" w:afterAutospacing="1"/>
    </w:pPr>
  </w:style>
  <w:style w:type="character" w:styleId="Hyperlink">
    <w:name w:val="Hyperlink"/>
    <w:basedOn w:val="DefaultParagraphFont"/>
    <w:uiPriority w:val="99"/>
    <w:semiHidden/>
    <w:unhideWhenUsed/>
    <w:rsid w:val="00E0356D"/>
    <w:rPr>
      <w:color w:val="0000FF"/>
      <w:u w:val="single"/>
    </w:rPr>
  </w:style>
  <w:style w:type="character" w:styleId="FollowedHyperlink">
    <w:name w:val="FollowedHyperlink"/>
    <w:basedOn w:val="DefaultParagraphFont"/>
    <w:uiPriority w:val="99"/>
    <w:semiHidden/>
    <w:unhideWhenUsed/>
    <w:rsid w:val="00E0356D"/>
    <w:rPr>
      <w:color w:val="800080"/>
      <w:u w:val="single"/>
    </w:rPr>
  </w:style>
  <w:style w:type="paragraph" w:styleId="BalloonText">
    <w:name w:val="Balloon Text"/>
    <w:basedOn w:val="Normal"/>
    <w:link w:val="BalloonTextChar"/>
    <w:uiPriority w:val="99"/>
    <w:semiHidden/>
    <w:unhideWhenUsed/>
    <w:rsid w:val="00071123"/>
    <w:rPr>
      <w:rFonts w:eastAsiaTheme="minorEastAsia"/>
      <w:sz w:val="18"/>
      <w:szCs w:val="18"/>
    </w:rPr>
  </w:style>
  <w:style w:type="character" w:customStyle="1" w:styleId="BalloonTextChar">
    <w:name w:val="Balloon Text Char"/>
    <w:basedOn w:val="DefaultParagraphFont"/>
    <w:link w:val="BalloonText"/>
    <w:uiPriority w:val="99"/>
    <w:semiHidden/>
    <w:rsid w:val="0007112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851C84"/>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851C84"/>
    <w:rPr>
      <w:sz w:val="20"/>
      <w:szCs w:val="20"/>
    </w:rPr>
  </w:style>
  <w:style w:type="character" w:styleId="FootnoteReference">
    <w:name w:val="footnote reference"/>
    <w:basedOn w:val="DefaultParagraphFont"/>
    <w:uiPriority w:val="99"/>
    <w:semiHidden/>
    <w:unhideWhenUsed/>
    <w:rsid w:val="00851C84"/>
    <w:rPr>
      <w:vertAlign w:val="superscript"/>
    </w:rPr>
  </w:style>
  <w:style w:type="paragraph" w:styleId="Revision">
    <w:name w:val="Revision"/>
    <w:hidden/>
    <w:uiPriority w:val="99"/>
    <w:semiHidden/>
    <w:rsid w:val="00686EE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046D"/>
    <w:pPr>
      <w:ind w:left="720"/>
      <w:contextualSpacing/>
    </w:pPr>
  </w:style>
  <w:style w:type="paragraph" w:styleId="Header">
    <w:name w:val="header"/>
    <w:basedOn w:val="Normal"/>
    <w:link w:val="HeaderChar"/>
    <w:uiPriority w:val="99"/>
    <w:unhideWhenUsed/>
    <w:rsid w:val="00636023"/>
    <w:pPr>
      <w:tabs>
        <w:tab w:val="center" w:pos="4680"/>
        <w:tab w:val="right" w:pos="9360"/>
      </w:tabs>
    </w:pPr>
  </w:style>
  <w:style w:type="character" w:customStyle="1" w:styleId="HeaderChar">
    <w:name w:val="Header Char"/>
    <w:basedOn w:val="DefaultParagraphFont"/>
    <w:link w:val="Header"/>
    <w:uiPriority w:val="99"/>
    <w:rsid w:val="006360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023"/>
    <w:pPr>
      <w:tabs>
        <w:tab w:val="center" w:pos="4680"/>
        <w:tab w:val="right" w:pos="9360"/>
      </w:tabs>
    </w:pPr>
  </w:style>
  <w:style w:type="character" w:customStyle="1" w:styleId="FooterChar">
    <w:name w:val="Footer Char"/>
    <w:basedOn w:val="DefaultParagraphFont"/>
    <w:link w:val="Footer"/>
    <w:uiPriority w:val="99"/>
    <w:rsid w:val="0063602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41EEA"/>
    <w:rPr>
      <w:sz w:val="16"/>
      <w:szCs w:val="16"/>
    </w:rPr>
  </w:style>
  <w:style w:type="paragraph" w:styleId="CommentText">
    <w:name w:val="annotation text"/>
    <w:basedOn w:val="Normal"/>
    <w:link w:val="CommentTextChar"/>
    <w:uiPriority w:val="99"/>
    <w:semiHidden/>
    <w:unhideWhenUsed/>
    <w:rsid w:val="00741EEA"/>
    <w:rPr>
      <w:sz w:val="20"/>
      <w:szCs w:val="20"/>
    </w:rPr>
  </w:style>
  <w:style w:type="character" w:customStyle="1" w:styleId="CommentTextChar">
    <w:name w:val="Comment Text Char"/>
    <w:basedOn w:val="DefaultParagraphFont"/>
    <w:link w:val="CommentText"/>
    <w:uiPriority w:val="99"/>
    <w:semiHidden/>
    <w:rsid w:val="00741E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EEA"/>
    <w:rPr>
      <w:b/>
      <w:bCs/>
    </w:rPr>
  </w:style>
  <w:style w:type="character" w:customStyle="1" w:styleId="CommentSubjectChar">
    <w:name w:val="Comment Subject Char"/>
    <w:basedOn w:val="CommentTextChar"/>
    <w:link w:val="CommentSubject"/>
    <w:uiPriority w:val="99"/>
    <w:semiHidden/>
    <w:rsid w:val="00741EEA"/>
    <w:rPr>
      <w:rFonts w:ascii="Times New Roman" w:eastAsia="Times New Roman" w:hAnsi="Times New Roman" w:cs="Times New Roman"/>
      <w:b/>
      <w:bCs/>
      <w:sz w:val="20"/>
      <w:szCs w:val="20"/>
    </w:rPr>
  </w:style>
  <w:style w:type="character" w:styleId="Emphasis">
    <w:name w:val="Emphasis"/>
    <w:basedOn w:val="DefaultParagraphFont"/>
    <w:uiPriority w:val="20"/>
    <w:qFormat/>
    <w:rsid w:val="005D649D"/>
    <w:rPr>
      <w:i/>
      <w:iCs/>
    </w:rPr>
  </w:style>
  <w:style w:type="paragraph" w:styleId="EndnoteText">
    <w:name w:val="endnote text"/>
    <w:basedOn w:val="Normal"/>
    <w:link w:val="EndnoteTextChar"/>
    <w:uiPriority w:val="99"/>
    <w:semiHidden/>
    <w:unhideWhenUsed/>
    <w:rsid w:val="0039274F"/>
    <w:rPr>
      <w:sz w:val="20"/>
      <w:szCs w:val="20"/>
    </w:rPr>
  </w:style>
  <w:style w:type="character" w:customStyle="1" w:styleId="EndnoteTextChar">
    <w:name w:val="Endnote Text Char"/>
    <w:basedOn w:val="DefaultParagraphFont"/>
    <w:link w:val="EndnoteText"/>
    <w:uiPriority w:val="99"/>
    <w:semiHidden/>
    <w:rsid w:val="0039274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9274F"/>
    <w:rPr>
      <w:vertAlign w:val="superscript"/>
    </w:rPr>
  </w:style>
  <w:style w:type="paragraph" w:customStyle="1" w:styleId="Body">
    <w:name w:val="Body"/>
    <w:qFormat/>
    <w:rsid w:val="003862D2"/>
    <w:pPr>
      <w:spacing w:after="240" w:line="288" w:lineRule="auto"/>
      <w:jc w:val="both"/>
    </w:pPr>
    <w:rPr>
      <w:rFonts w:ascii="Arial" w:eastAsia="Times New Roman" w:hAnsi="Arial" w:cs="Times New Roman"/>
      <w:color w:val="000000"/>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5</Pages>
  <Words>2680</Words>
  <Characters>13690</Characters>
  <Application>Microsoft Office Word</Application>
  <DocSecurity>0</DocSecurity>
  <Lines>356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